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4037" w:rsidRPr="005F6631" w:rsidRDefault="00334037" w:rsidP="00334037">
      <w:pPr>
        <w:spacing w:after="0" w:line="240" w:lineRule="auto"/>
        <w:rPr>
          <w:b/>
          <w:u w:val="single"/>
        </w:rPr>
      </w:pPr>
      <w:bookmarkStart w:id="0" w:name="_GoBack"/>
      <w:bookmarkEnd w:id="0"/>
      <w:r w:rsidRPr="005F6631">
        <w:rPr>
          <w:b/>
          <w:sz w:val="28"/>
          <w:u w:val="single"/>
        </w:rPr>
        <w:t>AAST Multicenter prospective observational study</w:t>
      </w:r>
      <w:r w:rsidR="00BE3780">
        <w:rPr>
          <w:b/>
          <w:sz w:val="28"/>
          <w:u w:val="single"/>
        </w:rPr>
        <w:t xml:space="preserve"> of</w:t>
      </w:r>
      <w:r w:rsidR="00BE3780" w:rsidRPr="00BE3780">
        <w:rPr>
          <w:b/>
          <w:sz w:val="28"/>
          <w:u w:val="single"/>
        </w:rPr>
        <w:t xml:space="preserve"> </w:t>
      </w:r>
      <w:r w:rsidR="00BE3780">
        <w:rPr>
          <w:b/>
          <w:sz w:val="28"/>
          <w:u w:val="single"/>
        </w:rPr>
        <w:t>trauma patients on novel oral</w:t>
      </w:r>
      <w:r w:rsidR="00BE3780" w:rsidRPr="005F6631">
        <w:rPr>
          <w:b/>
          <w:sz w:val="28"/>
          <w:u w:val="single"/>
        </w:rPr>
        <w:t xml:space="preserve"> anticoagulants</w:t>
      </w:r>
      <w:r w:rsidR="00D84040">
        <w:rPr>
          <w:b/>
          <w:sz w:val="28"/>
          <w:u w:val="single"/>
        </w:rPr>
        <w:t>: Part B</w:t>
      </w:r>
    </w:p>
    <w:p w:rsidR="00334037" w:rsidRDefault="00334037" w:rsidP="00334037">
      <w:pPr>
        <w:spacing w:after="0" w:line="240" w:lineRule="auto"/>
      </w:pPr>
    </w:p>
    <w:p w:rsidR="00D84040" w:rsidRPr="00D84040" w:rsidRDefault="004E392C" w:rsidP="00B5116A">
      <w:pPr>
        <w:spacing w:after="0" w:line="240" w:lineRule="auto"/>
        <w:rPr>
          <w:color w:val="000000"/>
        </w:rPr>
      </w:pPr>
      <w:r>
        <w:t>Principal Investigator</w:t>
      </w:r>
      <w:r w:rsidR="00D84040">
        <w:t>s</w:t>
      </w:r>
      <w:r>
        <w:t xml:space="preserve">: </w:t>
      </w:r>
      <w:r>
        <w:tab/>
      </w:r>
      <w:r w:rsidR="00D84040" w:rsidRPr="00B5116A">
        <w:rPr>
          <w:color w:val="000000"/>
        </w:rPr>
        <w:t>Carlos V.R. Brown, MD</w:t>
      </w:r>
    </w:p>
    <w:p w:rsidR="00D84040" w:rsidRPr="00D84040" w:rsidRDefault="00D84040" w:rsidP="00B5116A">
      <w:pPr>
        <w:spacing w:after="0" w:line="240" w:lineRule="auto"/>
        <w:ind w:left="1440" w:firstLine="720"/>
        <w:rPr>
          <w:color w:val="000000"/>
        </w:rPr>
      </w:pPr>
      <w:r w:rsidRPr="00B5116A">
        <w:rPr>
          <w:color w:val="000000"/>
        </w:rPr>
        <w:t>Associate Professor</w:t>
      </w:r>
    </w:p>
    <w:p w:rsidR="00D84040" w:rsidRPr="00D84040" w:rsidRDefault="00D84040" w:rsidP="00B5116A">
      <w:pPr>
        <w:spacing w:after="0" w:line="240" w:lineRule="auto"/>
        <w:ind w:left="1440" w:firstLine="720"/>
        <w:rPr>
          <w:color w:val="000000"/>
        </w:rPr>
      </w:pPr>
      <w:r w:rsidRPr="00B5116A">
        <w:rPr>
          <w:color w:val="000000"/>
        </w:rPr>
        <w:t>Dell Medical School, University of Texas at Austin</w:t>
      </w:r>
    </w:p>
    <w:p w:rsidR="00D84040" w:rsidRPr="00D84040" w:rsidRDefault="00D84040" w:rsidP="00B5116A">
      <w:pPr>
        <w:spacing w:after="0" w:line="240" w:lineRule="auto"/>
        <w:ind w:left="1440" w:firstLine="720"/>
        <w:rPr>
          <w:color w:val="000000"/>
        </w:rPr>
      </w:pPr>
      <w:r w:rsidRPr="00B5116A">
        <w:rPr>
          <w:color w:val="000000"/>
        </w:rPr>
        <w:t>Trauma Medical Director, University Medical Center Brackenridge</w:t>
      </w:r>
    </w:p>
    <w:p w:rsidR="00D84040" w:rsidRDefault="00D84040" w:rsidP="00B5116A">
      <w:pPr>
        <w:spacing w:after="0" w:line="240" w:lineRule="auto"/>
        <w:ind w:left="1440" w:firstLine="720"/>
      </w:pPr>
      <w:r>
        <w:rPr>
          <w:color w:val="000000"/>
        </w:rPr>
        <w:t>Email: CVRBrown@seton.org</w:t>
      </w:r>
    </w:p>
    <w:p w:rsidR="00D84040" w:rsidRDefault="00D84040" w:rsidP="00334037">
      <w:pPr>
        <w:spacing w:after="0" w:line="240" w:lineRule="auto"/>
      </w:pPr>
    </w:p>
    <w:p w:rsidR="004E392C" w:rsidRDefault="004E392C" w:rsidP="00B5116A">
      <w:pPr>
        <w:spacing w:after="0" w:line="240" w:lineRule="auto"/>
        <w:ind w:left="1440" w:firstLine="720"/>
      </w:pPr>
      <w:r>
        <w:t>Leslie M. Kobayashi, MD, FACS</w:t>
      </w:r>
    </w:p>
    <w:p w:rsidR="004E392C" w:rsidRDefault="004E392C" w:rsidP="00334037">
      <w:pPr>
        <w:spacing w:after="0" w:line="240" w:lineRule="auto"/>
      </w:pPr>
      <w:r>
        <w:tab/>
      </w:r>
      <w:r>
        <w:tab/>
        <w:t xml:space="preserve">            </w:t>
      </w:r>
      <w:r>
        <w:tab/>
        <w:t>Division of Trauma, Surgical Critical Care and Burns</w:t>
      </w:r>
    </w:p>
    <w:p w:rsidR="004E392C" w:rsidRDefault="004E392C" w:rsidP="00334037">
      <w:pPr>
        <w:spacing w:after="0" w:line="240" w:lineRule="auto"/>
      </w:pPr>
      <w:r>
        <w:t xml:space="preserve">                                         </w:t>
      </w:r>
      <w:r>
        <w:tab/>
        <w:t>University of California San Diego School of Medicine</w:t>
      </w:r>
    </w:p>
    <w:p w:rsidR="004E392C" w:rsidRDefault="004E392C" w:rsidP="00334037">
      <w:pPr>
        <w:spacing w:after="0" w:line="240" w:lineRule="auto"/>
      </w:pPr>
      <w:r>
        <w:t xml:space="preserve">                                         </w:t>
      </w:r>
      <w:r>
        <w:tab/>
        <w:t xml:space="preserve">Email: </w:t>
      </w:r>
      <w:hyperlink r:id="rId5" w:history="1">
        <w:r w:rsidRPr="000E07D2">
          <w:rPr>
            <w:rStyle w:val="Hyperlink"/>
          </w:rPr>
          <w:t>lkobayashi@ucsd.edu</w:t>
        </w:r>
      </w:hyperlink>
      <w:r>
        <w:tab/>
      </w:r>
    </w:p>
    <w:p w:rsidR="004E392C" w:rsidRDefault="004E392C" w:rsidP="00334037">
      <w:pPr>
        <w:spacing w:after="0" w:line="240" w:lineRule="auto"/>
      </w:pPr>
      <w:r>
        <w:t xml:space="preserve">                                        </w:t>
      </w:r>
      <w:r>
        <w:tab/>
        <w:t>Phone: (619) 543-7120</w:t>
      </w:r>
    </w:p>
    <w:p w:rsidR="004E392C" w:rsidRDefault="004E392C" w:rsidP="00334037">
      <w:pPr>
        <w:spacing w:after="0" w:line="240" w:lineRule="auto"/>
      </w:pPr>
      <w:r>
        <w:tab/>
      </w:r>
      <w:r>
        <w:tab/>
      </w:r>
      <w:r>
        <w:tab/>
        <w:t>Fax: (619) 543-7202</w:t>
      </w:r>
    </w:p>
    <w:p w:rsidR="004E392C" w:rsidRDefault="004E392C" w:rsidP="00334037">
      <w:pPr>
        <w:spacing w:after="0" w:line="240" w:lineRule="auto"/>
      </w:pPr>
    </w:p>
    <w:p w:rsidR="004E392C" w:rsidRDefault="004E392C" w:rsidP="00334037">
      <w:pPr>
        <w:spacing w:after="0" w:line="240" w:lineRule="auto"/>
      </w:pPr>
      <w:r>
        <w:t xml:space="preserve">Co-Investigator: </w:t>
      </w:r>
      <w:r>
        <w:tab/>
        <w:t>Raul Coimbra MD, PhD, FACS</w:t>
      </w:r>
    </w:p>
    <w:p w:rsidR="004E392C" w:rsidRDefault="004E392C" w:rsidP="004E392C">
      <w:pPr>
        <w:spacing w:after="0" w:line="240" w:lineRule="auto"/>
      </w:pPr>
      <w:r>
        <w:tab/>
      </w:r>
      <w:r>
        <w:tab/>
      </w:r>
      <w:r>
        <w:tab/>
        <w:t>Division of Trauma, Surgical Critical Care and Burns</w:t>
      </w:r>
    </w:p>
    <w:p w:rsidR="004E392C" w:rsidRDefault="004E392C" w:rsidP="004E392C">
      <w:pPr>
        <w:spacing w:after="0" w:line="240" w:lineRule="auto"/>
      </w:pPr>
      <w:r>
        <w:t xml:space="preserve">                                         </w:t>
      </w:r>
      <w:r>
        <w:tab/>
        <w:t>University of California San Diego School of Medicine</w:t>
      </w:r>
    </w:p>
    <w:p w:rsidR="004E392C" w:rsidRDefault="004E392C" w:rsidP="004E392C">
      <w:pPr>
        <w:spacing w:after="0" w:line="240" w:lineRule="auto"/>
      </w:pPr>
      <w:r>
        <w:t xml:space="preserve">                                         </w:t>
      </w:r>
      <w:r>
        <w:tab/>
        <w:t xml:space="preserve">Email: </w:t>
      </w:r>
      <w:hyperlink r:id="rId6" w:history="1">
        <w:r w:rsidRPr="000E07D2">
          <w:rPr>
            <w:rStyle w:val="Hyperlink"/>
          </w:rPr>
          <w:t>rcoimbra@ucsd.edu</w:t>
        </w:r>
      </w:hyperlink>
      <w:r>
        <w:tab/>
      </w:r>
    </w:p>
    <w:p w:rsidR="004E392C" w:rsidRDefault="004E392C" w:rsidP="004E392C">
      <w:pPr>
        <w:spacing w:after="0" w:line="240" w:lineRule="auto"/>
      </w:pPr>
      <w:r>
        <w:t xml:space="preserve">                                        </w:t>
      </w:r>
      <w:r>
        <w:tab/>
        <w:t xml:space="preserve"> Phone: (619) 543-7200</w:t>
      </w:r>
    </w:p>
    <w:p w:rsidR="004E392C" w:rsidRDefault="004E392C" w:rsidP="00334037">
      <w:pPr>
        <w:spacing w:after="0" w:line="240" w:lineRule="auto"/>
      </w:pPr>
    </w:p>
    <w:p w:rsidR="004E392C" w:rsidRDefault="004E392C" w:rsidP="00334037">
      <w:pPr>
        <w:spacing w:after="0" w:line="240" w:lineRule="auto"/>
      </w:pPr>
    </w:p>
    <w:p w:rsidR="00334037" w:rsidRPr="005F6631" w:rsidRDefault="00334037" w:rsidP="00334037">
      <w:pPr>
        <w:spacing w:after="0" w:line="240" w:lineRule="auto"/>
        <w:rPr>
          <w:b/>
          <w:sz w:val="24"/>
          <w:u w:val="single"/>
        </w:rPr>
      </w:pPr>
      <w:r w:rsidRPr="005F6631">
        <w:rPr>
          <w:b/>
          <w:sz w:val="24"/>
          <w:u w:val="single"/>
        </w:rPr>
        <w:t>Significance</w:t>
      </w:r>
    </w:p>
    <w:p w:rsidR="00D84040" w:rsidRDefault="00856CE4" w:rsidP="00334037">
      <w:pPr>
        <w:spacing w:after="0" w:line="240" w:lineRule="auto"/>
      </w:pPr>
      <w:r>
        <w:t>Trauma remains the 5</w:t>
      </w:r>
      <w:r w:rsidRPr="00856CE4">
        <w:rPr>
          <w:vertAlign w:val="superscript"/>
        </w:rPr>
        <w:t>th</w:t>
      </w:r>
      <w:r>
        <w:t xml:space="preserve"> leading cause of death in the United States, and the 9</w:t>
      </w:r>
      <w:r w:rsidRPr="00856CE4">
        <w:rPr>
          <w:vertAlign w:val="superscript"/>
        </w:rPr>
        <w:t>th</w:t>
      </w:r>
      <w:r>
        <w:t xml:space="preserve"> leading cause of death among persons &gt;65years old</w:t>
      </w:r>
      <w:r w:rsidR="0072670B" w:rsidRPr="0072670B">
        <w:rPr>
          <w:vertAlign w:val="superscript"/>
        </w:rPr>
        <w:t>1</w:t>
      </w:r>
      <w:r>
        <w:t xml:space="preserve">. </w:t>
      </w:r>
      <w:r w:rsidR="0072670B">
        <w:t xml:space="preserve">The number of </w:t>
      </w:r>
      <w:r w:rsidR="007E69EB">
        <w:t xml:space="preserve">elderly </w:t>
      </w:r>
      <w:r w:rsidR="0072670B">
        <w:t>p</w:t>
      </w:r>
      <w:r w:rsidR="00514DC1">
        <w:t xml:space="preserve">atients </w:t>
      </w:r>
      <w:r w:rsidR="007E69EB">
        <w:t xml:space="preserve">and those taking </w:t>
      </w:r>
      <w:r w:rsidR="00514DC1">
        <w:t>anticoagulant</w:t>
      </w:r>
      <w:r w:rsidR="007E69EB">
        <w:t>s presenting to trauma centers</w:t>
      </w:r>
      <w:r w:rsidR="00514DC1">
        <w:t xml:space="preserve"> </w:t>
      </w:r>
      <w:r w:rsidR="0072670B">
        <w:t xml:space="preserve">have been </w:t>
      </w:r>
      <w:proofErr w:type="gramStart"/>
      <w:r w:rsidR="0072670B">
        <w:t>increasing.</w:t>
      </w:r>
      <w:r w:rsidR="004E392C">
        <w:rPr>
          <w:vertAlign w:val="superscript"/>
        </w:rPr>
        <w:t>2</w:t>
      </w:r>
      <w:r w:rsidR="0072670B">
        <w:t xml:space="preserve"> </w:t>
      </w:r>
      <w:r w:rsidR="004E392C">
        <w:t xml:space="preserve"> </w:t>
      </w:r>
      <w:r w:rsidR="0072670B">
        <w:t>Patients</w:t>
      </w:r>
      <w:proofErr w:type="gramEnd"/>
      <w:r w:rsidR="0072670B">
        <w:t xml:space="preserve"> on Warfarin </w:t>
      </w:r>
      <w:r w:rsidR="00514DC1">
        <w:t>have been found to have worsened outcomes following injury</w:t>
      </w:r>
      <w:r w:rsidR="0072670B">
        <w:t xml:space="preserve">, particularly </w:t>
      </w:r>
      <w:r w:rsidR="000C5941">
        <w:t>in those with</w:t>
      </w:r>
      <w:r w:rsidR="0072670B">
        <w:t xml:space="preserve"> traumatic brain injury</w:t>
      </w:r>
      <w:r w:rsidR="0072670B" w:rsidRPr="0072670B">
        <w:rPr>
          <w:vertAlign w:val="superscript"/>
        </w:rPr>
        <w:t>2</w:t>
      </w:r>
      <w:r w:rsidR="000C5941">
        <w:rPr>
          <w:vertAlign w:val="superscript"/>
        </w:rPr>
        <w:t>,3</w:t>
      </w:r>
      <w:r w:rsidR="00514DC1">
        <w:t xml:space="preserve">. </w:t>
      </w:r>
      <w:r w:rsidR="0013495C">
        <w:rPr>
          <w:rFonts w:cs="Arial"/>
        </w:rPr>
        <w:t>However, t</w:t>
      </w:r>
      <w:r w:rsidR="005F6631" w:rsidRPr="005F6631">
        <w:rPr>
          <w:rFonts w:cs="Arial"/>
        </w:rPr>
        <w:t>he effect o</w:t>
      </w:r>
      <w:r w:rsidR="00350028">
        <w:rPr>
          <w:rFonts w:cs="Arial"/>
        </w:rPr>
        <w:t xml:space="preserve">f newer anticoagulants such as </w:t>
      </w:r>
      <w:proofErr w:type="spellStart"/>
      <w:r w:rsidR="00350028">
        <w:rPr>
          <w:rFonts w:cs="Arial"/>
        </w:rPr>
        <w:t>Dabagatran</w:t>
      </w:r>
      <w:proofErr w:type="spellEnd"/>
      <w:r w:rsidR="00350028">
        <w:rPr>
          <w:rFonts w:cs="Arial"/>
        </w:rPr>
        <w:t xml:space="preserve"> or R</w:t>
      </w:r>
      <w:r w:rsidR="005F6631" w:rsidRPr="005F6631">
        <w:rPr>
          <w:rFonts w:cs="Arial"/>
        </w:rPr>
        <w:t xml:space="preserve">ivaroxaban on the outcomes of </w:t>
      </w:r>
      <w:r w:rsidR="0013495C">
        <w:rPr>
          <w:rFonts w:cs="Arial"/>
        </w:rPr>
        <w:t xml:space="preserve">trauma </w:t>
      </w:r>
      <w:r w:rsidR="005F6631" w:rsidRPr="005F6631">
        <w:rPr>
          <w:rFonts w:cs="Arial"/>
        </w:rPr>
        <w:t xml:space="preserve">patients is unknown. </w:t>
      </w:r>
      <w:r w:rsidR="008041FA">
        <w:rPr>
          <w:rFonts w:cs="Arial"/>
        </w:rPr>
        <w:t xml:space="preserve"> Already several case reports have emerged describing significant bleeding associated with the use of these novel agents.</w:t>
      </w:r>
      <w:r w:rsidR="00D84040">
        <w:rPr>
          <w:rFonts w:cs="Arial"/>
          <w:vertAlign w:val="superscript"/>
        </w:rPr>
        <w:t>4-6</w:t>
      </w:r>
      <w:r w:rsidR="005F6631" w:rsidRPr="005F6631">
        <w:rPr>
          <w:rFonts w:cs="Arial"/>
        </w:rPr>
        <w:t xml:space="preserve"> </w:t>
      </w:r>
      <w:r w:rsidR="00D84040">
        <w:rPr>
          <w:rFonts w:cs="Arial"/>
        </w:rPr>
        <w:t xml:space="preserve"> </w:t>
      </w:r>
      <w:r w:rsidR="000C5941">
        <w:t>There is significant evidence to suggest that</w:t>
      </w:r>
      <w:r w:rsidR="009E7EA8" w:rsidRPr="005F6631">
        <w:t xml:space="preserve"> rapid recognition</w:t>
      </w:r>
      <w:r w:rsidR="000C5941">
        <w:t xml:space="preserve"> and reversal of anti-coagulation in patients with </w:t>
      </w:r>
      <w:r w:rsidR="001C468B">
        <w:t>traumatic brain injury</w:t>
      </w:r>
      <w:r w:rsidR="009E7EA8" w:rsidRPr="005F6631">
        <w:t xml:space="preserve"> </w:t>
      </w:r>
      <w:r w:rsidR="000C5941">
        <w:t>can decrease</w:t>
      </w:r>
      <w:r w:rsidR="009E7EA8" w:rsidRPr="005F6631">
        <w:t xml:space="preserve"> progression of intracranial hemorrhage</w:t>
      </w:r>
      <w:r w:rsidR="0052526B">
        <w:t xml:space="preserve"> a</w:t>
      </w:r>
      <w:r w:rsidR="000C5941">
        <w:t>nd improve mortality.</w:t>
      </w:r>
      <w:r w:rsidR="0052526B">
        <w:rPr>
          <w:vertAlign w:val="superscript"/>
        </w:rPr>
        <w:t>2,3</w:t>
      </w:r>
      <w:r w:rsidR="009E7EA8" w:rsidRPr="005F6631">
        <w:t xml:space="preserve">  </w:t>
      </w:r>
      <w:r w:rsidR="00D84040">
        <w:t>New drug specific reversal agents for the novel oral anticoagulants are now becoming available</w:t>
      </w:r>
      <w:r w:rsidR="00E11541">
        <w:t xml:space="preserve"> (see Table 1 below)</w:t>
      </w:r>
      <w:r w:rsidR="00D84040">
        <w:t xml:space="preserve">, however there is little data delineating their efficacy and impact on outcomes following trauma. </w:t>
      </w:r>
    </w:p>
    <w:p w:rsidR="006A4E94" w:rsidRDefault="006A4E94" w:rsidP="00334037">
      <w:pPr>
        <w:spacing w:after="0" w:line="240" w:lineRule="auto"/>
      </w:pPr>
    </w:p>
    <w:p w:rsidR="006A4E94" w:rsidRPr="005F6631" w:rsidRDefault="006A4E94" w:rsidP="00334037">
      <w:pPr>
        <w:spacing w:after="0" w:line="240" w:lineRule="auto"/>
      </w:pPr>
      <w:r>
        <w:t>The overall objective of this study is to identify the injury patterns and outcomes among patients taking novel oral anticoagulants</w:t>
      </w:r>
      <w:r w:rsidR="00D84040">
        <w:t xml:space="preserve"> who did and those who did not receive drug specific reversal agents</w:t>
      </w:r>
      <w:r>
        <w:t>.</w:t>
      </w:r>
    </w:p>
    <w:p w:rsidR="005F6631" w:rsidRDefault="005F6631" w:rsidP="00334037">
      <w:pPr>
        <w:spacing w:after="0" w:line="240" w:lineRule="auto"/>
      </w:pPr>
    </w:p>
    <w:p w:rsidR="00334037" w:rsidRDefault="00334037" w:rsidP="00334037">
      <w:pPr>
        <w:spacing w:after="0" w:line="240" w:lineRule="auto"/>
        <w:rPr>
          <w:b/>
          <w:sz w:val="24"/>
          <w:u w:val="single"/>
        </w:rPr>
      </w:pPr>
      <w:r w:rsidRPr="005F6631">
        <w:rPr>
          <w:b/>
          <w:sz w:val="24"/>
          <w:u w:val="single"/>
        </w:rPr>
        <w:t>Hypothesis</w:t>
      </w:r>
    </w:p>
    <w:p w:rsidR="00514DC1" w:rsidRDefault="00514DC1" w:rsidP="00334037">
      <w:pPr>
        <w:spacing w:after="0" w:line="240" w:lineRule="auto"/>
      </w:pPr>
      <w:r>
        <w:t xml:space="preserve">We hypothesize that patients taking novel oral anticoagulants </w:t>
      </w:r>
      <w:r w:rsidR="00D84040">
        <w:t xml:space="preserve">who are reversed with drug specific agents </w:t>
      </w:r>
      <w:r>
        <w:t xml:space="preserve">will have </w:t>
      </w:r>
      <w:r w:rsidR="00D84040">
        <w:t xml:space="preserve">improved </w:t>
      </w:r>
      <w:r>
        <w:t xml:space="preserve">outcomes following trauma compared to </w:t>
      </w:r>
      <w:r w:rsidR="00350028">
        <w:t xml:space="preserve">patients </w:t>
      </w:r>
      <w:r w:rsidR="00D84040">
        <w:t>not receiving reversal or those reversed with transfusion and prothrombin complex administration</w:t>
      </w:r>
      <w:r>
        <w:t xml:space="preserve">. </w:t>
      </w:r>
    </w:p>
    <w:p w:rsidR="001C468B" w:rsidRDefault="001C468B" w:rsidP="00334037">
      <w:pPr>
        <w:spacing w:after="0" w:line="240" w:lineRule="auto"/>
      </w:pPr>
    </w:p>
    <w:p w:rsidR="00D84040" w:rsidRDefault="00D84040" w:rsidP="00334037">
      <w:pPr>
        <w:spacing w:after="0" w:line="240" w:lineRule="auto"/>
      </w:pPr>
    </w:p>
    <w:p w:rsidR="00D84040" w:rsidRDefault="00D84040" w:rsidP="00334037">
      <w:pPr>
        <w:spacing w:after="0" w:line="240" w:lineRule="auto"/>
      </w:pPr>
    </w:p>
    <w:p w:rsidR="00D84040" w:rsidRDefault="00D84040" w:rsidP="00334037">
      <w:pPr>
        <w:spacing w:after="0" w:line="240" w:lineRule="auto"/>
      </w:pPr>
    </w:p>
    <w:p w:rsidR="00D84040" w:rsidRDefault="00334037" w:rsidP="00334037">
      <w:pPr>
        <w:spacing w:after="0" w:line="240" w:lineRule="auto"/>
        <w:rPr>
          <w:b/>
          <w:sz w:val="24"/>
          <w:u w:val="single"/>
        </w:rPr>
      </w:pPr>
      <w:r w:rsidRPr="005F6631">
        <w:rPr>
          <w:b/>
          <w:sz w:val="24"/>
          <w:u w:val="single"/>
        </w:rPr>
        <w:lastRenderedPageBreak/>
        <w:t>Specific aim</w:t>
      </w:r>
      <w:r w:rsidR="001C468B">
        <w:rPr>
          <w:b/>
          <w:sz w:val="24"/>
          <w:u w:val="single"/>
        </w:rPr>
        <w:t>s</w:t>
      </w:r>
    </w:p>
    <w:p w:rsidR="0013495C" w:rsidRDefault="00514DC1" w:rsidP="00D84040">
      <w:pPr>
        <w:spacing w:after="0" w:line="240" w:lineRule="auto"/>
        <w:ind w:left="180" w:hanging="180"/>
      </w:pPr>
      <w:r>
        <w:t xml:space="preserve">1. </w:t>
      </w:r>
      <w:r w:rsidR="00E739E9">
        <w:t>Document</w:t>
      </w:r>
      <w:r w:rsidR="00D84040">
        <w:t xml:space="preserve"> effect of drug specific reversal agents on</w:t>
      </w:r>
      <w:r w:rsidR="0013495C">
        <w:t xml:space="preserve"> outcomes following injury </w:t>
      </w:r>
      <w:r w:rsidR="00E739E9">
        <w:t>in patients on</w:t>
      </w:r>
      <w:r w:rsidR="00D84040">
        <w:t xml:space="preserve"> novel</w:t>
      </w:r>
      <w:r w:rsidR="00E739E9">
        <w:t xml:space="preserve"> </w:t>
      </w:r>
      <w:r w:rsidR="00B41F5F">
        <w:rPr>
          <w:rFonts w:cs="Arial"/>
        </w:rPr>
        <w:t>oral anticoagulants</w:t>
      </w:r>
      <w:r w:rsidR="00E739E9" w:rsidRPr="005F6631">
        <w:rPr>
          <w:rFonts w:cs="Arial"/>
        </w:rPr>
        <w:t xml:space="preserve"> </w:t>
      </w:r>
      <w:r w:rsidR="00E739E9">
        <w:t xml:space="preserve">including progression </w:t>
      </w:r>
      <w:r w:rsidR="0013495C">
        <w:t>of traumatic brain injury, bleeding requiring surgery</w:t>
      </w:r>
      <w:r w:rsidR="00B41F5F">
        <w:t>, angiography,</w:t>
      </w:r>
      <w:r w:rsidR="00584644">
        <w:t xml:space="preserve"> or other intervention</w:t>
      </w:r>
      <w:r w:rsidR="0013495C">
        <w:t xml:space="preserve">, re-bleeding following intervention, and death.  </w:t>
      </w:r>
    </w:p>
    <w:p w:rsidR="00EC22C7" w:rsidRPr="00EC22C7" w:rsidRDefault="0013495C" w:rsidP="00EC22C7">
      <w:pPr>
        <w:spacing w:after="0" w:line="240" w:lineRule="auto"/>
        <w:ind w:left="180" w:hanging="180"/>
      </w:pPr>
      <w:r>
        <w:t>3.</w:t>
      </w:r>
      <w:r w:rsidR="00D84040">
        <w:t xml:space="preserve"> </w:t>
      </w:r>
      <w:r w:rsidR="00617EE1" w:rsidRPr="00F23B05">
        <w:t>D</w:t>
      </w:r>
      <w:r w:rsidR="00EC22C7" w:rsidRPr="00F23B05">
        <w:t>escri</w:t>
      </w:r>
      <w:r w:rsidR="00617EE1" w:rsidRPr="00F23B05">
        <w:t xml:space="preserve">be the variations between centers in the management and </w:t>
      </w:r>
      <w:r w:rsidR="00EC22C7" w:rsidRPr="00F23B05">
        <w:t>reversal of oral anticoagulants</w:t>
      </w:r>
      <w:r w:rsidR="00617EE1" w:rsidRPr="00F23B05">
        <w:t xml:space="preserve"> in trauma patients</w:t>
      </w:r>
      <w:r w:rsidR="00EC22C7" w:rsidRPr="00F23B05">
        <w:t>.</w:t>
      </w:r>
      <w:r w:rsidR="00EC22C7">
        <w:t xml:space="preserve"> </w:t>
      </w:r>
    </w:p>
    <w:p w:rsidR="00EC22C7" w:rsidRDefault="00EC22C7" w:rsidP="00334037">
      <w:pPr>
        <w:spacing w:after="0" w:line="240" w:lineRule="auto"/>
        <w:rPr>
          <w:b/>
          <w:sz w:val="24"/>
          <w:u w:val="single"/>
        </w:rPr>
      </w:pPr>
    </w:p>
    <w:p w:rsidR="00334037" w:rsidRPr="005F6631" w:rsidRDefault="00334037" w:rsidP="00334037">
      <w:pPr>
        <w:spacing w:after="0" w:line="240" w:lineRule="auto"/>
        <w:rPr>
          <w:b/>
          <w:sz w:val="24"/>
          <w:u w:val="single"/>
        </w:rPr>
      </w:pPr>
      <w:r w:rsidRPr="005F6631">
        <w:rPr>
          <w:b/>
          <w:sz w:val="24"/>
          <w:u w:val="single"/>
        </w:rPr>
        <w:t xml:space="preserve">Study design </w:t>
      </w:r>
    </w:p>
    <w:p w:rsidR="006171D5" w:rsidRDefault="009719CC" w:rsidP="009719CC">
      <w:pPr>
        <w:spacing w:after="0" w:line="240" w:lineRule="auto"/>
      </w:pPr>
      <w:r>
        <w:t xml:space="preserve">Prospective multi-center observational </w:t>
      </w:r>
      <w:r w:rsidR="006171D5">
        <w:t>study of</w:t>
      </w:r>
      <w:r>
        <w:t xml:space="preserve"> patients on novel oral ant</w:t>
      </w:r>
      <w:r w:rsidR="006171D5">
        <w:t>icoagulants admitted to Level 1</w:t>
      </w:r>
      <w:r w:rsidR="00DE6895">
        <w:t>, 2 or 3</w:t>
      </w:r>
      <w:r w:rsidR="006171D5">
        <w:t xml:space="preserve"> Trauma Centers. </w:t>
      </w:r>
      <w:r>
        <w:t xml:space="preserve">Data and outcomes will be observational and involve no proscribed therapeutic interventions or alterations from standard patient care.  Institutions and providers will conduct normal diagnosis and management procedures without interference from this study. </w:t>
      </w:r>
    </w:p>
    <w:p w:rsidR="00350028" w:rsidRDefault="00350028" w:rsidP="009719CC">
      <w:pPr>
        <w:spacing w:after="0" w:line="240" w:lineRule="auto"/>
      </w:pPr>
    </w:p>
    <w:p w:rsidR="005F6631" w:rsidRPr="00CD14AA" w:rsidRDefault="005F6631" w:rsidP="001F78BA">
      <w:pPr>
        <w:spacing w:after="0" w:line="240" w:lineRule="auto"/>
      </w:pPr>
      <w:r w:rsidRPr="00CD14AA">
        <w:rPr>
          <w:i/>
        </w:rPr>
        <w:t xml:space="preserve">Inclusion Criteria:  </w:t>
      </w:r>
      <w:r w:rsidRPr="00CD14AA">
        <w:t>The following criteria must be met for patients to be eligible for this study:</w:t>
      </w:r>
    </w:p>
    <w:p w:rsidR="003E13AD" w:rsidRDefault="006171D5" w:rsidP="003E13AD">
      <w:pPr>
        <w:numPr>
          <w:ilvl w:val="0"/>
          <w:numId w:val="1"/>
        </w:numPr>
        <w:spacing w:after="0" w:line="240" w:lineRule="auto"/>
      </w:pPr>
      <w:r>
        <w:t>All p</w:t>
      </w:r>
      <w:r w:rsidR="00245924" w:rsidRPr="00CD14AA">
        <w:t>atients</w:t>
      </w:r>
      <w:r w:rsidR="00283FAC">
        <w:t xml:space="preserve"> </w:t>
      </w:r>
      <w:r w:rsidR="00EC22C7">
        <w:t>consulted on or admitted by the</w:t>
      </w:r>
      <w:r w:rsidR="005F6631" w:rsidRPr="00CD14AA">
        <w:t xml:space="preserve"> trauma </w:t>
      </w:r>
      <w:r w:rsidR="00EC22C7">
        <w:t xml:space="preserve">service, including </w:t>
      </w:r>
      <w:r w:rsidR="005F6631" w:rsidRPr="00CD14AA">
        <w:t>i</w:t>
      </w:r>
      <w:r>
        <w:t>nter-facility transfer</w:t>
      </w:r>
      <w:r w:rsidR="00EC22C7">
        <w:t>s</w:t>
      </w:r>
      <w:r>
        <w:t xml:space="preserve"> will be eligible for inclusion</w:t>
      </w:r>
      <w:r w:rsidR="005F6631" w:rsidRPr="00CD14AA">
        <w:t>.</w:t>
      </w:r>
    </w:p>
    <w:p w:rsidR="005F6631" w:rsidRPr="003E13AD" w:rsidRDefault="005F6631" w:rsidP="003E13AD">
      <w:pPr>
        <w:numPr>
          <w:ilvl w:val="0"/>
          <w:numId w:val="1"/>
        </w:numPr>
        <w:spacing w:after="0" w:line="240" w:lineRule="auto"/>
      </w:pPr>
      <w:r w:rsidRPr="00CD14AA">
        <w:t xml:space="preserve">Currently on </w:t>
      </w:r>
      <w:proofErr w:type="spellStart"/>
      <w:r w:rsidR="00350028" w:rsidRPr="003E13AD">
        <w:rPr>
          <w:rFonts w:cs="Arial"/>
        </w:rPr>
        <w:t>D</w:t>
      </w:r>
      <w:r w:rsidR="00BE3780" w:rsidRPr="003E13AD">
        <w:rPr>
          <w:rFonts w:cs="Arial"/>
        </w:rPr>
        <w:t>abagatran</w:t>
      </w:r>
      <w:proofErr w:type="spellEnd"/>
      <w:r w:rsidR="00BE3780" w:rsidRPr="003E13AD">
        <w:rPr>
          <w:rFonts w:cs="Arial"/>
        </w:rPr>
        <w:t>,</w:t>
      </w:r>
      <w:r w:rsidR="00350028" w:rsidRPr="003E13AD">
        <w:rPr>
          <w:rFonts w:cs="Arial"/>
        </w:rPr>
        <w:t xml:space="preserve"> R</w:t>
      </w:r>
      <w:r w:rsidR="006244EB" w:rsidRPr="003E13AD">
        <w:rPr>
          <w:rFonts w:cs="Arial"/>
        </w:rPr>
        <w:t>ivaroxaban</w:t>
      </w:r>
      <w:r w:rsidR="003E13AD">
        <w:t xml:space="preserve">, </w:t>
      </w:r>
      <w:proofErr w:type="spellStart"/>
      <w:r w:rsidR="00D84040">
        <w:rPr>
          <w:b/>
          <w:bCs/>
        </w:rPr>
        <w:t>Apixaban</w:t>
      </w:r>
      <w:proofErr w:type="spellEnd"/>
      <w:r w:rsidR="00D84040">
        <w:rPr>
          <w:b/>
          <w:bCs/>
        </w:rPr>
        <w:t xml:space="preserve"> or other oral thrombin inhibitor or </w:t>
      </w:r>
      <w:proofErr w:type="spellStart"/>
      <w:r w:rsidR="00D84040">
        <w:rPr>
          <w:b/>
          <w:bCs/>
        </w:rPr>
        <w:t>Xa</w:t>
      </w:r>
      <w:proofErr w:type="spellEnd"/>
      <w:r w:rsidR="00D84040">
        <w:t xml:space="preserve"> inhibitor</w:t>
      </w:r>
    </w:p>
    <w:p w:rsidR="005F6631" w:rsidRDefault="001F78BA" w:rsidP="001F78BA">
      <w:pPr>
        <w:spacing w:after="0" w:line="240" w:lineRule="auto"/>
        <w:rPr>
          <w:i/>
        </w:rPr>
      </w:pPr>
      <w:r w:rsidRPr="001F78BA">
        <w:rPr>
          <w:i/>
        </w:rPr>
        <w:t>Exclusion Criteria</w:t>
      </w:r>
    </w:p>
    <w:p w:rsidR="009719CC" w:rsidRDefault="006244EB" w:rsidP="001F78BA">
      <w:pPr>
        <w:spacing w:after="0" w:line="240" w:lineRule="auto"/>
      </w:pPr>
      <w:r>
        <w:rPr>
          <w:i/>
        </w:rPr>
        <w:tab/>
      </w:r>
      <w:r>
        <w:t xml:space="preserve">1) </w:t>
      </w:r>
      <w:r w:rsidR="009719CC">
        <w:t>Prisoners</w:t>
      </w:r>
      <w:r w:rsidR="008041FA">
        <w:t xml:space="preserve"> or inmate status</w:t>
      </w:r>
    </w:p>
    <w:p w:rsidR="009719CC" w:rsidRDefault="008041FA" w:rsidP="001F78BA">
      <w:pPr>
        <w:spacing w:after="0" w:line="240" w:lineRule="auto"/>
      </w:pPr>
      <w:r>
        <w:tab/>
        <w:t>2</w:t>
      </w:r>
      <w:r w:rsidR="009719CC">
        <w:t>) Patients &lt;18years of age</w:t>
      </w:r>
    </w:p>
    <w:p w:rsidR="007C2466" w:rsidRPr="006244EB" w:rsidRDefault="007C2466" w:rsidP="001F78BA">
      <w:pPr>
        <w:spacing w:after="0" w:line="240" w:lineRule="auto"/>
      </w:pPr>
      <w:r>
        <w:tab/>
        <w:t>4) Pregnancy</w:t>
      </w:r>
    </w:p>
    <w:p w:rsidR="00E762AB" w:rsidRPr="006A4E94" w:rsidRDefault="00E762AB" w:rsidP="001F78BA">
      <w:pPr>
        <w:spacing w:after="0" w:line="240" w:lineRule="auto"/>
        <w:rPr>
          <w:i/>
        </w:rPr>
      </w:pPr>
      <w:r w:rsidRPr="006A4E94">
        <w:rPr>
          <w:i/>
        </w:rPr>
        <w:t xml:space="preserve">Data collected will include: </w:t>
      </w:r>
    </w:p>
    <w:p w:rsidR="00E762AB" w:rsidRDefault="00E762AB" w:rsidP="001F78BA">
      <w:pPr>
        <w:spacing w:after="0" w:line="240" w:lineRule="auto"/>
      </w:pPr>
      <w:r>
        <w:tab/>
        <w:t>1) Demographics such as age, gender, race</w:t>
      </w:r>
      <w:r w:rsidR="006A4E94">
        <w:t>*</w:t>
      </w:r>
    </w:p>
    <w:p w:rsidR="00E762AB" w:rsidRDefault="00E762AB" w:rsidP="001F78BA">
      <w:pPr>
        <w:spacing w:after="0" w:line="240" w:lineRule="auto"/>
      </w:pPr>
      <w:r>
        <w:tab/>
        <w:t>2) Injuries and injury severity</w:t>
      </w:r>
      <w:r w:rsidR="006A4E94">
        <w:t>*</w:t>
      </w:r>
    </w:p>
    <w:p w:rsidR="003E13AD" w:rsidRDefault="00E762AB" w:rsidP="001F78BA">
      <w:pPr>
        <w:spacing w:after="0" w:line="240" w:lineRule="auto"/>
      </w:pPr>
      <w:r>
        <w:tab/>
        <w:t xml:space="preserve">3) Initial </w:t>
      </w:r>
      <w:r w:rsidR="00BE3780">
        <w:t>assessment</w:t>
      </w:r>
      <w:r>
        <w:t xml:space="preserve"> and management such as laboratory values of coagulation including </w:t>
      </w:r>
      <w:r w:rsidR="00BE3780">
        <w:tab/>
        <w:t xml:space="preserve">   </w:t>
      </w:r>
      <w:r w:rsidR="00BE3780">
        <w:tab/>
        <w:t xml:space="preserve">   </w:t>
      </w:r>
      <w:r w:rsidR="006A4E94">
        <w:t xml:space="preserve"> </w:t>
      </w:r>
      <w:r>
        <w:t>TEG</w:t>
      </w:r>
      <w:r w:rsidR="006A4E94">
        <w:t>,</w:t>
      </w:r>
      <w:r>
        <w:t xml:space="preserve"> CT findings, need for surgery/angiography, t</w:t>
      </w:r>
      <w:r w:rsidR="006A4E94">
        <w:t xml:space="preserve">ransfusion of blood products* </w:t>
      </w:r>
      <w:r w:rsidR="006A4E94">
        <w:tab/>
      </w:r>
    </w:p>
    <w:p w:rsidR="00E762AB" w:rsidRDefault="003E13AD" w:rsidP="001F78BA">
      <w:pPr>
        <w:spacing w:after="0" w:line="240" w:lineRule="auto"/>
      </w:pPr>
      <w:r>
        <w:tab/>
      </w:r>
      <w:r w:rsidR="006A4E94">
        <w:t>4) O</w:t>
      </w:r>
      <w:r w:rsidR="00E762AB">
        <w:t>utcomes</w:t>
      </w:r>
      <w:r w:rsidR="006A4E94">
        <w:t xml:space="preserve"> such as bleeding, re-bleeding and death*</w:t>
      </w:r>
    </w:p>
    <w:p w:rsidR="00BE3780" w:rsidRDefault="00BE3780" w:rsidP="001F78BA">
      <w:pPr>
        <w:spacing w:after="0" w:line="240" w:lineRule="auto"/>
      </w:pPr>
    </w:p>
    <w:p w:rsidR="006A4E94" w:rsidRPr="006A4E94" w:rsidRDefault="006A4E94" w:rsidP="001F78BA">
      <w:pPr>
        <w:spacing w:after="0" w:line="240" w:lineRule="auto"/>
        <w:rPr>
          <w:b/>
        </w:rPr>
      </w:pPr>
      <w:r>
        <w:t>*See data collection sheet</w:t>
      </w:r>
    </w:p>
    <w:p w:rsidR="006A4E94" w:rsidRDefault="002D5A97" w:rsidP="001F78BA">
      <w:pPr>
        <w:spacing w:after="0" w:line="240" w:lineRule="auto"/>
      </w:pPr>
      <w:r w:rsidRPr="00F23B05">
        <w:t xml:space="preserve">Enrollment need not be limited to centers with TEG/ROTEM capabilities, but if they are in use as part of the centers routine trauma protocols we would appreciate the collection of this additional information. </w:t>
      </w:r>
      <w:r w:rsidR="00530AB0" w:rsidRPr="00F23B05">
        <w:t>We will plan to specifically invite centers who do use TEG/ROTEM as part of their trauma protocols and our goal is to have a goal of 50% of centers be TEG/ROTEM uses.</w:t>
      </w:r>
      <w:r w:rsidR="00530AB0">
        <w:t xml:space="preserve"> </w:t>
      </w:r>
    </w:p>
    <w:p w:rsidR="002D5A97" w:rsidRDefault="002D5A97" w:rsidP="001F78BA">
      <w:pPr>
        <w:spacing w:after="0" w:line="240" w:lineRule="auto"/>
      </w:pPr>
    </w:p>
    <w:p w:rsidR="001F667A" w:rsidRDefault="00994A7F" w:rsidP="001F667A">
      <w:pPr>
        <w:spacing w:after="0" w:line="240" w:lineRule="auto"/>
      </w:pPr>
      <w:r>
        <w:rPr>
          <w:i/>
        </w:rPr>
        <w:t>Patient consent</w:t>
      </w:r>
    </w:p>
    <w:p w:rsidR="007C2466" w:rsidRDefault="00994A7F" w:rsidP="001F667A">
      <w:pPr>
        <w:spacing w:after="0" w:line="240" w:lineRule="auto"/>
      </w:pPr>
      <w:r>
        <w:t xml:space="preserve">This is an observational study that </w:t>
      </w:r>
      <w:r w:rsidR="007C2466">
        <w:t xml:space="preserve">will not alter </w:t>
      </w:r>
      <w:r>
        <w:t>institutional management protocols</w:t>
      </w:r>
      <w:r w:rsidR="00FF70E0">
        <w:t xml:space="preserve"> or patient care, as such</w:t>
      </w:r>
      <w:r w:rsidR="007C2466">
        <w:t xml:space="preserve"> enrollment in this study will pose no additional medical risk to participants</w:t>
      </w:r>
      <w:r>
        <w:t>. Thus, waiver of informed consent is requested. Data will be recorded on a data sheet and transferred to a secured database that is devoid of patient identifiers</w:t>
      </w:r>
      <w:r w:rsidR="007C2466">
        <w:t xml:space="preserve"> thus posing minima</w:t>
      </w:r>
      <w:r w:rsidR="00436FF8">
        <w:t>l risk of breach of confidentia</w:t>
      </w:r>
      <w:r w:rsidR="007C2466">
        <w:t>lity</w:t>
      </w:r>
      <w:r>
        <w:t>.</w:t>
      </w:r>
    </w:p>
    <w:p w:rsidR="00D10896" w:rsidRDefault="00D10896" w:rsidP="00D10896">
      <w:pPr>
        <w:spacing w:after="0" w:line="240" w:lineRule="auto"/>
        <w:rPr>
          <w:i/>
        </w:rPr>
      </w:pPr>
    </w:p>
    <w:p w:rsidR="00D10896" w:rsidRPr="006A4E94" w:rsidRDefault="00D10896" w:rsidP="00D10896">
      <w:pPr>
        <w:spacing w:after="0" w:line="240" w:lineRule="auto"/>
        <w:rPr>
          <w:i/>
        </w:rPr>
      </w:pPr>
      <w:r w:rsidRPr="006A4E94">
        <w:rPr>
          <w:i/>
        </w:rPr>
        <w:t xml:space="preserve">Data entry and Analysis </w:t>
      </w:r>
    </w:p>
    <w:p w:rsidR="00D10896" w:rsidRDefault="00D10896" w:rsidP="00D10896">
      <w:pPr>
        <w:spacing w:after="0" w:line="240" w:lineRule="auto"/>
      </w:pPr>
      <w:r>
        <w:t xml:space="preserve">All data will be collected through the AAST MIT online data entry system. </w:t>
      </w:r>
    </w:p>
    <w:p w:rsidR="007C2466" w:rsidRDefault="007C2466" w:rsidP="00994A7F">
      <w:pPr>
        <w:spacing w:after="0" w:line="240" w:lineRule="auto"/>
        <w:ind w:firstLine="720"/>
      </w:pPr>
    </w:p>
    <w:p w:rsidR="007C2466" w:rsidRDefault="007C2466" w:rsidP="007C2466">
      <w:pPr>
        <w:spacing w:after="0" w:line="240" w:lineRule="auto"/>
      </w:pPr>
      <w:r>
        <w:rPr>
          <w:i/>
        </w:rPr>
        <w:t>Timeline</w:t>
      </w:r>
    </w:p>
    <w:p w:rsidR="007C2466" w:rsidRDefault="007C2466" w:rsidP="007C2466">
      <w:pPr>
        <w:spacing w:after="0" w:line="240" w:lineRule="auto"/>
      </w:pPr>
      <w:r>
        <w:t xml:space="preserve">This study will be completed over </w:t>
      </w:r>
      <w:r w:rsidR="003E6967">
        <w:t xml:space="preserve">a </w:t>
      </w:r>
      <w:r w:rsidR="003E6967">
        <w:softHyphen/>
      </w:r>
      <w:r w:rsidR="003E6967">
        <w:softHyphen/>
      </w:r>
      <w:r w:rsidR="003E6967">
        <w:softHyphen/>
      </w:r>
      <w:r w:rsidR="003E6967">
        <w:softHyphen/>
        <w:t>30</w:t>
      </w:r>
      <w:r>
        <w:t xml:space="preserve"> month period</w:t>
      </w:r>
    </w:p>
    <w:p w:rsidR="007C2466" w:rsidRDefault="007C2466" w:rsidP="007C2466">
      <w:pPr>
        <w:spacing w:after="0" w:line="240" w:lineRule="auto"/>
      </w:pPr>
      <w:r>
        <w:tab/>
        <w:t>1) Recruitme</w:t>
      </w:r>
      <w:r w:rsidR="00BC7A43">
        <w:t>nt of centers and IRB approval 4</w:t>
      </w:r>
      <w:r>
        <w:t xml:space="preserve"> months</w:t>
      </w:r>
    </w:p>
    <w:p w:rsidR="007C2466" w:rsidRDefault="007C2466" w:rsidP="007C2466">
      <w:pPr>
        <w:spacing w:after="0" w:line="240" w:lineRule="auto"/>
      </w:pPr>
      <w:r>
        <w:lastRenderedPageBreak/>
        <w:tab/>
        <w:t xml:space="preserve">2) Enrollment of patients </w:t>
      </w:r>
      <w:r w:rsidR="003E6967">
        <w:t>24</w:t>
      </w:r>
      <w:r w:rsidR="00BC7A43">
        <w:t xml:space="preserve"> </w:t>
      </w:r>
      <w:r w:rsidR="002D5A97">
        <w:t>months</w:t>
      </w:r>
    </w:p>
    <w:p w:rsidR="007C2466" w:rsidRDefault="007C2466" w:rsidP="007C2466">
      <w:pPr>
        <w:spacing w:after="0" w:line="240" w:lineRule="auto"/>
      </w:pPr>
      <w:r>
        <w:tab/>
        <w:t>3) Data analysis and manuscript preparation 2 months</w:t>
      </w:r>
    </w:p>
    <w:p w:rsidR="00AD629A" w:rsidRDefault="00AD629A" w:rsidP="007C2466">
      <w:pPr>
        <w:spacing w:after="0" w:line="240" w:lineRule="auto"/>
        <w:rPr>
          <w:i/>
        </w:rPr>
      </w:pPr>
    </w:p>
    <w:p w:rsidR="004062AD" w:rsidRPr="00F23B05" w:rsidRDefault="00AD629A" w:rsidP="007C2466">
      <w:pPr>
        <w:spacing w:after="0" w:line="240" w:lineRule="auto"/>
        <w:rPr>
          <w:i/>
        </w:rPr>
      </w:pPr>
      <w:r w:rsidRPr="00F23B05">
        <w:rPr>
          <w:i/>
        </w:rPr>
        <w:t>Power calculations</w:t>
      </w:r>
    </w:p>
    <w:p w:rsidR="00636E2B" w:rsidRPr="00F23B05" w:rsidRDefault="00636E2B" w:rsidP="007C2466">
      <w:pPr>
        <w:spacing w:after="0" w:line="240" w:lineRule="auto"/>
        <w:rPr>
          <w:i/>
        </w:rPr>
      </w:pPr>
      <w:r w:rsidRPr="00F23B05">
        <w:t xml:space="preserve">The rate of intracranial hemorrhage among the patients in </w:t>
      </w:r>
      <w:r w:rsidR="00603A9A">
        <w:t xml:space="preserve">the </w:t>
      </w:r>
      <w:r w:rsidR="00242A7E">
        <w:t xml:space="preserve">previous NOA </w:t>
      </w:r>
      <w:r w:rsidR="00603A9A">
        <w:t>study</w:t>
      </w:r>
      <w:r w:rsidR="00242A7E">
        <w:t xml:space="preserve"> was </w:t>
      </w:r>
      <w:r w:rsidR="00603A9A">
        <w:t>3</w:t>
      </w:r>
      <w:r w:rsidR="00242A7E">
        <w:t>0</w:t>
      </w:r>
      <w:proofErr w:type="gramStart"/>
      <w:r w:rsidR="00603A9A">
        <w:t>%</w:t>
      </w:r>
      <w:r w:rsidR="00242A7E">
        <w:t xml:space="preserve">  progression</w:t>
      </w:r>
      <w:proofErr w:type="gramEnd"/>
      <w:r w:rsidR="00242A7E">
        <w:t xml:space="preserve"> of ICH occurred in 17%; </w:t>
      </w:r>
      <w:r w:rsidRPr="00F23B05">
        <w:t xml:space="preserve">to detect a </w:t>
      </w:r>
      <w:r w:rsidR="00242A7E">
        <w:t>50</w:t>
      </w:r>
      <w:r w:rsidR="009E04CF">
        <w:t>%</w:t>
      </w:r>
      <w:r w:rsidRPr="00F23B05">
        <w:t xml:space="preserve"> </w:t>
      </w:r>
      <w:r w:rsidR="00242A7E">
        <w:t>de</w:t>
      </w:r>
      <w:r w:rsidRPr="00F23B05">
        <w:t xml:space="preserve">crease in </w:t>
      </w:r>
      <w:r w:rsidR="00242A7E">
        <w:t>progression of ICH</w:t>
      </w:r>
      <w:r w:rsidRPr="00F23B05">
        <w:t xml:space="preserve"> </w:t>
      </w:r>
      <w:r w:rsidR="00242A7E">
        <w:t>due to utilization of drug specific rever</w:t>
      </w:r>
      <w:r w:rsidR="00F86E57">
        <w:t xml:space="preserve">sal agents we would require 241 </w:t>
      </w:r>
      <w:r w:rsidR="00242A7E">
        <w:t>patients</w:t>
      </w:r>
      <w:r w:rsidR="00F86E57">
        <w:t xml:space="preserve"> per group to achieve a 95% confidence interval at 80% power</w:t>
      </w:r>
      <w:r w:rsidRPr="00F23B05">
        <w:t xml:space="preserve">. </w:t>
      </w:r>
    </w:p>
    <w:p w:rsidR="00636E2B" w:rsidRPr="00F23B05" w:rsidRDefault="00636E2B" w:rsidP="007C2466">
      <w:pPr>
        <w:spacing w:after="0" w:line="240" w:lineRule="auto"/>
      </w:pPr>
    </w:p>
    <w:p w:rsidR="00636E2B" w:rsidRPr="00F23B05" w:rsidRDefault="009E04CF" w:rsidP="007C2466">
      <w:pPr>
        <w:spacing w:after="0" w:line="240" w:lineRule="auto"/>
      </w:pPr>
      <w:r>
        <w:t>M</w:t>
      </w:r>
      <w:r w:rsidR="00636E2B" w:rsidRPr="00F23B05">
        <w:t>ortality for patients i</w:t>
      </w:r>
      <w:r>
        <w:t>n the current study was 7</w:t>
      </w:r>
      <w:r w:rsidR="00636E2B" w:rsidRPr="00F23B05">
        <w:t xml:space="preserve">%, to detect a 2-fold </w:t>
      </w:r>
      <w:r w:rsidR="00242A7E">
        <w:t>de</w:t>
      </w:r>
      <w:r w:rsidR="00636E2B" w:rsidRPr="00F23B05">
        <w:t xml:space="preserve">crease in mortality we would need </w:t>
      </w:r>
      <w:r w:rsidR="00F86E57">
        <w:t>637</w:t>
      </w:r>
      <w:r w:rsidR="00242A7E" w:rsidRPr="00F23B05">
        <w:t xml:space="preserve"> </w:t>
      </w:r>
      <w:r w:rsidR="00636E2B" w:rsidRPr="00F23B05">
        <w:t>patients per arm</w:t>
      </w:r>
      <w:r w:rsidR="00F86E57">
        <w:t xml:space="preserve"> to achieve a 95% confidence interval at 80% power</w:t>
      </w:r>
      <w:r w:rsidR="00636E2B" w:rsidRPr="00F23B05">
        <w:t xml:space="preserve">. </w:t>
      </w:r>
    </w:p>
    <w:p w:rsidR="00636E2B" w:rsidRPr="00F23B05" w:rsidRDefault="00636E2B" w:rsidP="007C2466">
      <w:pPr>
        <w:spacing w:after="0" w:line="240" w:lineRule="auto"/>
      </w:pPr>
    </w:p>
    <w:p w:rsidR="004062AD" w:rsidRPr="007C2466" w:rsidRDefault="00F86E57" w:rsidP="007C2466">
      <w:pPr>
        <w:spacing w:after="0" w:line="240" w:lineRule="auto"/>
      </w:pPr>
      <w:r>
        <w:t>Sixteen centers in the current study</w:t>
      </w:r>
      <w:r w:rsidR="00E11541">
        <w:t xml:space="preserve"> enrolled 213 patients on NOA’s during the 24</w:t>
      </w:r>
      <w:r>
        <w:t xml:space="preserve"> </w:t>
      </w:r>
      <w:r w:rsidR="00E11541">
        <w:t xml:space="preserve">month data collection period. </w:t>
      </w:r>
      <w:r w:rsidR="009535FE" w:rsidRPr="00F23B05">
        <w:rPr>
          <w:rFonts w:cs="Arial"/>
        </w:rPr>
        <w:t xml:space="preserve">Assuming </w:t>
      </w:r>
      <w:r w:rsidR="00E11541">
        <w:rPr>
          <w:rFonts w:cs="Arial"/>
        </w:rPr>
        <w:t>the incidence of patients on NOA’s remains steady</w:t>
      </w:r>
      <w:r w:rsidR="009535FE" w:rsidRPr="00F23B05">
        <w:rPr>
          <w:rFonts w:cs="Arial"/>
        </w:rPr>
        <w:t xml:space="preserve"> w</w:t>
      </w:r>
      <w:r w:rsidR="004062AD" w:rsidRPr="00F23B05">
        <w:rPr>
          <w:rFonts w:cs="Arial"/>
        </w:rPr>
        <w:t xml:space="preserve">e anticipate that with </w:t>
      </w:r>
      <w:r w:rsidR="009535FE" w:rsidRPr="00F23B05">
        <w:rPr>
          <w:rFonts w:cs="Arial"/>
        </w:rPr>
        <w:t xml:space="preserve">the participation of </w:t>
      </w:r>
      <w:r w:rsidR="00E11541">
        <w:rPr>
          <w:rFonts w:cs="Arial"/>
        </w:rPr>
        <w:t>the current centers</w:t>
      </w:r>
      <w:r w:rsidR="004062AD" w:rsidRPr="00F23B05">
        <w:rPr>
          <w:rFonts w:cs="Arial"/>
        </w:rPr>
        <w:t xml:space="preserve"> we will be able to enroll enough patients </w:t>
      </w:r>
      <w:r w:rsidR="00E11541">
        <w:rPr>
          <w:rFonts w:cs="Arial"/>
        </w:rPr>
        <w:t xml:space="preserve">on NOA’s </w:t>
      </w:r>
      <w:r w:rsidR="004062AD" w:rsidRPr="00F23B05">
        <w:rPr>
          <w:rFonts w:cs="Arial"/>
        </w:rPr>
        <w:t xml:space="preserve">to detect a significant </w:t>
      </w:r>
      <w:r w:rsidR="00242A7E">
        <w:rPr>
          <w:rFonts w:cs="Arial"/>
        </w:rPr>
        <w:t>decrease in ICH progression and overall</w:t>
      </w:r>
      <w:r w:rsidR="004062AD" w:rsidRPr="00F23B05">
        <w:rPr>
          <w:rFonts w:cs="Arial"/>
        </w:rPr>
        <w:t xml:space="preserve"> </w:t>
      </w:r>
      <w:r w:rsidR="00E11541">
        <w:rPr>
          <w:rFonts w:cs="Arial"/>
        </w:rPr>
        <w:t>mortality in</w:t>
      </w:r>
      <w:r>
        <w:rPr>
          <w:rFonts w:cs="Arial"/>
        </w:rPr>
        <w:t xml:space="preserve"> 6</w:t>
      </w:r>
      <w:r w:rsidR="004062AD" w:rsidRPr="00F23B05">
        <w:rPr>
          <w:rFonts w:cs="Arial"/>
        </w:rPr>
        <w:t xml:space="preserve"> year</w:t>
      </w:r>
      <w:r w:rsidR="00E11541">
        <w:rPr>
          <w:rFonts w:cs="Arial"/>
        </w:rPr>
        <w:t>s.</w:t>
      </w:r>
      <w:r w:rsidR="004062AD" w:rsidRPr="00F23B05">
        <w:rPr>
          <w:rFonts w:cs="Arial"/>
        </w:rPr>
        <w:t xml:space="preserve"> </w:t>
      </w:r>
      <w:r w:rsidR="00E11541">
        <w:rPr>
          <w:rFonts w:cs="Arial"/>
        </w:rPr>
        <w:t xml:space="preserve"> </w:t>
      </w:r>
      <w:r>
        <w:rPr>
          <w:rFonts w:cs="Arial"/>
        </w:rPr>
        <w:t>W</w:t>
      </w:r>
      <w:r w:rsidR="00E11541">
        <w:rPr>
          <w:rFonts w:cs="Arial"/>
        </w:rPr>
        <w:t xml:space="preserve">e </w:t>
      </w:r>
      <w:r>
        <w:rPr>
          <w:rFonts w:cs="Arial"/>
        </w:rPr>
        <w:t>anticipate</w:t>
      </w:r>
      <w:r w:rsidR="00E11541">
        <w:rPr>
          <w:rFonts w:cs="Arial"/>
        </w:rPr>
        <w:t xml:space="preserve"> recruit</w:t>
      </w:r>
      <w:r>
        <w:rPr>
          <w:rFonts w:cs="Arial"/>
        </w:rPr>
        <w:t>ing</w:t>
      </w:r>
      <w:r w:rsidR="00E11541">
        <w:rPr>
          <w:rFonts w:cs="Arial"/>
        </w:rPr>
        <w:t xml:space="preserve"> an additional </w:t>
      </w:r>
      <w:r>
        <w:rPr>
          <w:rFonts w:cs="Arial"/>
        </w:rPr>
        <w:t>10</w:t>
      </w:r>
      <w:r w:rsidR="00E11541">
        <w:rPr>
          <w:rFonts w:cs="Arial"/>
        </w:rPr>
        <w:t xml:space="preserve">-12 centers </w:t>
      </w:r>
      <w:r>
        <w:rPr>
          <w:rFonts w:cs="Arial"/>
        </w:rPr>
        <w:t>allowing us</w:t>
      </w:r>
      <w:r w:rsidR="00E11541">
        <w:rPr>
          <w:rFonts w:cs="Arial"/>
        </w:rPr>
        <w:t xml:space="preserve"> to close enrollment </w:t>
      </w:r>
      <w:r>
        <w:rPr>
          <w:rFonts w:cs="Arial"/>
        </w:rPr>
        <w:t>in 24-36 months</w:t>
      </w:r>
      <w:r w:rsidR="004062AD" w:rsidRPr="00F23B05">
        <w:rPr>
          <w:rFonts w:cs="Arial"/>
        </w:rPr>
        <w:t xml:space="preserve">. </w:t>
      </w:r>
    </w:p>
    <w:p w:rsidR="00D25E5F" w:rsidRDefault="00D25E5F" w:rsidP="001F78BA">
      <w:pPr>
        <w:spacing w:after="0" w:line="240" w:lineRule="auto"/>
        <w:rPr>
          <w:b/>
          <w:u w:val="single"/>
        </w:rPr>
      </w:pPr>
    </w:p>
    <w:p w:rsidR="00D25E5F" w:rsidRDefault="00D25E5F" w:rsidP="001F78BA">
      <w:pPr>
        <w:spacing w:after="0" w:line="240" w:lineRule="auto"/>
        <w:rPr>
          <w:b/>
          <w:u w:val="single"/>
        </w:rPr>
      </w:pPr>
    </w:p>
    <w:p w:rsidR="00D25E5F" w:rsidRDefault="00D25E5F" w:rsidP="001F78BA">
      <w:pPr>
        <w:spacing w:after="0" w:line="240" w:lineRule="auto"/>
        <w:rPr>
          <w:b/>
          <w:u w:val="single"/>
        </w:rPr>
      </w:pPr>
    </w:p>
    <w:p w:rsidR="00D25E5F" w:rsidRDefault="00D25E5F" w:rsidP="001F78BA">
      <w:pPr>
        <w:spacing w:after="0" w:line="240" w:lineRule="auto"/>
        <w:rPr>
          <w:b/>
          <w:u w:val="single"/>
        </w:rPr>
      </w:pPr>
    </w:p>
    <w:p w:rsidR="00D25E5F" w:rsidRDefault="00E11541" w:rsidP="001F78BA">
      <w:pPr>
        <w:spacing w:after="0" w:line="240" w:lineRule="auto"/>
        <w:rPr>
          <w:b/>
          <w:u w:val="single"/>
        </w:rPr>
      </w:pPr>
      <w:r>
        <w:rPr>
          <w:b/>
          <w:u w:val="single"/>
        </w:rPr>
        <w:t xml:space="preserve">Table 1. </w:t>
      </w:r>
    </w:p>
    <w:p w:rsidR="00D25E5F" w:rsidRDefault="00D25E5F" w:rsidP="001F78BA">
      <w:pPr>
        <w:spacing w:after="0" w:line="240" w:lineRule="auto"/>
        <w:rPr>
          <w:b/>
          <w:u w:val="single"/>
        </w:rPr>
      </w:pPr>
    </w:p>
    <w:tbl>
      <w:tblPr>
        <w:tblpPr w:leftFromText="180" w:rightFromText="180" w:vertAnchor="text"/>
        <w:tblW w:w="0" w:type="auto"/>
        <w:tblCellMar>
          <w:left w:w="0" w:type="dxa"/>
          <w:right w:w="0" w:type="dxa"/>
        </w:tblCellMar>
        <w:tblLook w:val="04A0" w:firstRow="1" w:lastRow="0" w:firstColumn="1" w:lastColumn="0" w:noHBand="0" w:noVBand="1"/>
      </w:tblPr>
      <w:tblGrid>
        <w:gridCol w:w="3119"/>
        <w:gridCol w:w="3620"/>
        <w:gridCol w:w="2601"/>
      </w:tblGrid>
      <w:tr w:rsidR="00D84040" w:rsidTr="00D84040">
        <w:tc>
          <w:tcPr>
            <w:tcW w:w="3192" w:type="dxa"/>
            <w:tcBorders>
              <w:top w:val="single" w:sz="8" w:space="0" w:color="000000"/>
              <w:left w:val="single" w:sz="8" w:space="0" w:color="000000"/>
              <w:bottom w:val="nil"/>
              <w:right w:val="nil"/>
            </w:tcBorders>
            <w:shd w:val="clear" w:color="auto" w:fill="000000"/>
            <w:tcMar>
              <w:top w:w="0" w:type="dxa"/>
              <w:left w:w="108" w:type="dxa"/>
              <w:bottom w:w="0" w:type="dxa"/>
              <w:right w:w="108" w:type="dxa"/>
            </w:tcMar>
            <w:hideMark/>
          </w:tcPr>
          <w:p w:rsidR="00D84040" w:rsidRDefault="00D84040">
            <w:r>
              <w:rPr>
                <w:b/>
                <w:bCs/>
                <w:color w:val="FFFFFF"/>
              </w:rPr>
              <w:t xml:space="preserve">Anticoagulants </w:t>
            </w:r>
          </w:p>
        </w:tc>
        <w:tc>
          <w:tcPr>
            <w:tcW w:w="3730" w:type="dxa"/>
            <w:tcBorders>
              <w:top w:val="single" w:sz="8" w:space="0" w:color="000000"/>
              <w:left w:val="nil"/>
              <w:bottom w:val="nil"/>
              <w:right w:val="nil"/>
            </w:tcBorders>
            <w:shd w:val="clear" w:color="auto" w:fill="000000"/>
            <w:tcMar>
              <w:top w:w="0" w:type="dxa"/>
              <w:left w:w="108" w:type="dxa"/>
              <w:bottom w:w="0" w:type="dxa"/>
              <w:right w:w="108" w:type="dxa"/>
            </w:tcMar>
            <w:hideMark/>
          </w:tcPr>
          <w:p w:rsidR="00D84040" w:rsidRDefault="00D84040">
            <w:r>
              <w:rPr>
                <w:b/>
                <w:bCs/>
                <w:color w:val="FFFFFF"/>
              </w:rPr>
              <w:t>Mechanism</w:t>
            </w:r>
          </w:p>
        </w:tc>
        <w:tc>
          <w:tcPr>
            <w:tcW w:w="2654" w:type="dxa"/>
            <w:tcBorders>
              <w:top w:val="single" w:sz="8" w:space="0" w:color="000000"/>
              <w:left w:val="nil"/>
              <w:bottom w:val="nil"/>
              <w:right w:val="single" w:sz="8" w:space="0" w:color="000000"/>
            </w:tcBorders>
            <w:shd w:val="clear" w:color="auto" w:fill="000000"/>
            <w:tcMar>
              <w:top w:w="0" w:type="dxa"/>
              <w:left w:w="108" w:type="dxa"/>
              <w:bottom w:w="0" w:type="dxa"/>
              <w:right w:w="108" w:type="dxa"/>
            </w:tcMar>
            <w:hideMark/>
          </w:tcPr>
          <w:p w:rsidR="00D84040" w:rsidRDefault="00D84040">
            <w:r>
              <w:rPr>
                <w:b/>
                <w:bCs/>
                <w:color w:val="FFFFFF"/>
              </w:rPr>
              <w:t>FDA approved</w:t>
            </w:r>
          </w:p>
        </w:tc>
      </w:tr>
      <w:tr w:rsidR="00D84040" w:rsidTr="00D84040">
        <w:tc>
          <w:tcPr>
            <w:tcW w:w="3192" w:type="dxa"/>
            <w:tcBorders>
              <w:top w:val="single" w:sz="8" w:space="0" w:color="000000"/>
              <w:left w:val="single" w:sz="8" w:space="0" w:color="000000"/>
              <w:bottom w:val="single" w:sz="8" w:space="0" w:color="000000"/>
              <w:right w:val="nil"/>
            </w:tcBorders>
            <w:tcMar>
              <w:top w:w="0" w:type="dxa"/>
              <w:left w:w="108" w:type="dxa"/>
              <w:bottom w:w="0" w:type="dxa"/>
              <w:right w:w="108" w:type="dxa"/>
            </w:tcMar>
            <w:hideMark/>
          </w:tcPr>
          <w:p w:rsidR="00D84040" w:rsidRDefault="00D84040">
            <w:r>
              <w:rPr>
                <w:b/>
                <w:bCs/>
              </w:rPr>
              <w:t>Dabigatran (</w:t>
            </w:r>
            <w:proofErr w:type="spellStart"/>
            <w:r>
              <w:rPr>
                <w:b/>
                <w:bCs/>
              </w:rPr>
              <w:t>Pradaxa</w:t>
            </w:r>
            <w:proofErr w:type="spellEnd"/>
            <w:r>
              <w:rPr>
                <w:b/>
                <w:bCs/>
              </w:rPr>
              <w:t>)</w:t>
            </w:r>
          </w:p>
        </w:tc>
        <w:tc>
          <w:tcPr>
            <w:tcW w:w="3730" w:type="dxa"/>
            <w:tcBorders>
              <w:top w:val="single" w:sz="8" w:space="0" w:color="000000"/>
              <w:left w:val="nil"/>
              <w:bottom w:val="single" w:sz="8" w:space="0" w:color="000000"/>
              <w:right w:val="nil"/>
            </w:tcBorders>
            <w:tcMar>
              <w:top w:w="0" w:type="dxa"/>
              <w:left w:w="108" w:type="dxa"/>
              <w:bottom w:w="0" w:type="dxa"/>
              <w:right w:w="108" w:type="dxa"/>
            </w:tcMar>
            <w:hideMark/>
          </w:tcPr>
          <w:p w:rsidR="00D84040" w:rsidRDefault="00D84040">
            <w:r>
              <w:t>Direct thrombin inhibitor</w:t>
            </w:r>
          </w:p>
        </w:tc>
        <w:tc>
          <w:tcPr>
            <w:tcW w:w="265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D84040" w:rsidRDefault="00D84040">
            <w:r>
              <w:t>2010</w:t>
            </w:r>
          </w:p>
        </w:tc>
      </w:tr>
      <w:tr w:rsidR="00D84040" w:rsidTr="00D84040">
        <w:tc>
          <w:tcPr>
            <w:tcW w:w="3192" w:type="dxa"/>
            <w:tcBorders>
              <w:top w:val="nil"/>
              <w:left w:val="single" w:sz="8" w:space="0" w:color="000000"/>
              <w:bottom w:val="nil"/>
              <w:right w:val="nil"/>
            </w:tcBorders>
            <w:tcMar>
              <w:top w:w="0" w:type="dxa"/>
              <w:left w:w="108" w:type="dxa"/>
              <w:bottom w:w="0" w:type="dxa"/>
              <w:right w:w="108" w:type="dxa"/>
            </w:tcMar>
            <w:hideMark/>
          </w:tcPr>
          <w:p w:rsidR="00D84040" w:rsidRDefault="00D84040">
            <w:r>
              <w:rPr>
                <w:b/>
                <w:bCs/>
              </w:rPr>
              <w:t>Rivaroxaban (</w:t>
            </w:r>
            <w:proofErr w:type="spellStart"/>
            <w:r>
              <w:rPr>
                <w:b/>
                <w:bCs/>
              </w:rPr>
              <w:t>Xarelto</w:t>
            </w:r>
            <w:proofErr w:type="spellEnd"/>
            <w:r>
              <w:rPr>
                <w:b/>
                <w:bCs/>
              </w:rPr>
              <w:t xml:space="preserve">)   </w:t>
            </w:r>
          </w:p>
        </w:tc>
        <w:tc>
          <w:tcPr>
            <w:tcW w:w="3730" w:type="dxa"/>
            <w:tcMar>
              <w:top w:w="0" w:type="dxa"/>
              <w:left w:w="108" w:type="dxa"/>
              <w:bottom w:w="0" w:type="dxa"/>
              <w:right w:w="108" w:type="dxa"/>
            </w:tcMar>
            <w:hideMark/>
          </w:tcPr>
          <w:p w:rsidR="00D84040" w:rsidRDefault="00D84040">
            <w:proofErr w:type="spellStart"/>
            <w:r>
              <w:t>Xa</w:t>
            </w:r>
            <w:proofErr w:type="spellEnd"/>
            <w:r>
              <w:t>-inhibitor</w:t>
            </w:r>
          </w:p>
        </w:tc>
        <w:tc>
          <w:tcPr>
            <w:tcW w:w="2654" w:type="dxa"/>
            <w:tcBorders>
              <w:top w:val="nil"/>
              <w:left w:val="nil"/>
              <w:bottom w:val="nil"/>
              <w:right w:val="single" w:sz="8" w:space="0" w:color="000000"/>
            </w:tcBorders>
            <w:tcMar>
              <w:top w:w="0" w:type="dxa"/>
              <w:left w:w="108" w:type="dxa"/>
              <w:bottom w:w="0" w:type="dxa"/>
              <w:right w:w="108" w:type="dxa"/>
            </w:tcMar>
            <w:hideMark/>
          </w:tcPr>
          <w:p w:rsidR="00D84040" w:rsidRDefault="00D84040">
            <w:r>
              <w:t>2011</w:t>
            </w:r>
          </w:p>
        </w:tc>
      </w:tr>
      <w:tr w:rsidR="00D84040" w:rsidTr="00D84040">
        <w:tc>
          <w:tcPr>
            <w:tcW w:w="3192" w:type="dxa"/>
            <w:tcBorders>
              <w:top w:val="single" w:sz="8" w:space="0" w:color="000000"/>
              <w:left w:val="single" w:sz="8" w:space="0" w:color="000000"/>
              <w:bottom w:val="single" w:sz="8" w:space="0" w:color="000000"/>
              <w:right w:val="nil"/>
            </w:tcBorders>
            <w:tcMar>
              <w:top w:w="0" w:type="dxa"/>
              <w:left w:w="108" w:type="dxa"/>
              <w:bottom w:w="0" w:type="dxa"/>
              <w:right w:w="108" w:type="dxa"/>
            </w:tcMar>
            <w:hideMark/>
          </w:tcPr>
          <w:p w:rsidR="00D84040" w:rsidRDefault="00D84040">
            <w:proofErr w:type="spellStart"/>
            <w:r>
              <w:rPr>
                <w:b/>
                <w:bCs/>
              </w:rPr>
              <w:t>Apixaban</w:t>
            </w:r>
            <w:proofErr w:type="spellEnd"/>
            <w:r>
              <w:rPr>
                <w:b/>
                <w:bCs/>
              </w:rPr>
              <w:t xml:space="preserve"> (</w:t>
            </w:r>
            <w:proofErr w:type="spellStart"/>
            <w:r>
              <w:rPr>
                <w:b/>
                <w:bCs/>
              </w:rPr>
              <w:t>Eliquis</w:t>
            </w:r>
            <w:proofErr w:type="spellEnd"/>
            <w:r>
              <w:rPr>
                <w:b/>
                <w:bCs/>
              </w:rPr>
              <w:t>)</w:t>
            </w:r>
          </w:p>
        </w:tc>
        <w:tc>
          <w:tcPr>
            <w:tcW w:w="3730" w:type="dxa"/>
            <w:tcBorders>
              <w:top w:val="single" w:sz="8" w:space="0" w:color="000000"/>
              <w:left w:val="nil"/>
              <w:bottom w:val="single" w:sz="8" w:space="0" w:color="000000"/>
              <w:right w:val="nil"/>
            </w:tcBorders>
            <w:tcMar>
              <w:top w:w="0" w:type="dxa"/>
              <w:left w:w="108" w:type="dxa"/>
              <w:bottom w:w="0" w:type="dxa"/>
              <w:right w:w="108" w:type="dxa"/>
            </w:tcMar>
            <w:hideMark/>
          </w:tcPr>
          <w:p w:rsidR="00D84040" w:rsidRDefault="00D84040">
            <w:proofErr w:type="spellStart"/>
            <w:r>
              <w:t>Xa</w:t>
            </w:r>
            <w:proofErr w:type="spellEnd"/>
            <w:r>
              <w:t>-inhibitor</w:t>
            </w:r>
          </w:p>
        </w:tc>
        <w:tc>
          <w:tcPr>
            <w:tcW w:w="265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D84040" w:rsidRDefault="00D84040">
            <w:r>
              <w:t>2012</w:t>
            </w:r>
          </w:p>
        </w:tc>
      </w:tr>
      <w:tr w:rsidR="00D84040" w:rsidTr="00D84040">
        <w:tc>
          <w:tcPr>
            <w:tcW w:w="3192" w:type="dxa"/>
            <w:tcBorders>
              <w:top w:val="nil"/>
              <w:left w:val="single" w:sz="8" w:space="0" w:color="000000"/>
              <w:bottom w:val="nil"/>
              <w:right w:val="nil"/>
            </w:tcBorders>
            <w:tcMar>
              <w:top w:w="0" w:type="dxa"/>
              <w:left w:w="108" w:type="dxa"/>
              <w:bottom w:w="0" w:type="dxa"/>
              <w:right w:w="108" w:type="dxa"/>
            </w:tcMar>
            <w:hideMark/>
          </w:tcPr>
          <w:p w:rsidR="00D84040" w:rsidRDefault="00D84040">
            <w:proofErr w:type="spellStart"/>
            <w:r>
              <w:rPr>
                <w:b/>
                <w:bCs/>
              </w:rPr>
              <w:t>Edoxaban</w:t>
            </w:r>
            <w:proofErr w:type="spellEnd"/>
            <w:r>
              <w:rPr>
                <w:b/>
                <w:bCs/>
              </w:rPr>
              <w:t xml:space="preserve"> (</w:t>
            </w:r>
            <w:proofErr w:type="spellStart"/>
            <w:r>
              <w:rPr>
                <w:b/>
                <w:bCs/>
              </w:rPr>
              <w:t>Savaysa</w:t>
            </w:r>
            <w:proofErr w:type="spellEnd"/>
            <w:r>
              <w:rPr>
                <w:b/>
                <w:bCs/>
              </w:rPr>
              <w:t xml:space="preserve">)        </w:t>
            </w:r>
          </w:p>
        </w:tc>
        <w:tc>
          <w:tcPr>
            <w:tcW w:w="3730" w:type="dxa"/>
            <w:tcMar>
              <w:top w:w="0" w:type="dxa"/>
              <w:left w:w="108" w:type="dxa"/>
              <w:bottom w:w="0" w:type="dxa"/>
              <w:right w:w="108" w:type="dxa"/>
            </w:tcMar>
            <w:hideMark/>
          </w:tcPr>
          <w:p w:rsidR="00D84040" w:rsidRDefault="00D84040">
            <w:proofErr w:type="spellStart"/>
            <w:r>
              <w:t>Xa</w:t>
            </w:r>
            <w:proofErr w:type="spellEnd"/>
            <w:r>
              <w:t>-inhibitor</w:t>
            </w:r>
          </w:p>
        </w:tc>
        <w:tc>
          <w:tcPr>
            <w:tcW w:w="2654" w:type="dxa"/>
            <w:tcBorders>
              <w:top w:val="nil"/>
              <w:left w:val="nil"/>
              <w:bottom w:val="nil"/>
              <w:right w:val="single" w:sz="8" w:space="0" w:color="000000"/>
            </w:tcBorders>
            <w:tcMar>
              <w:top w:w="0" w:type="dxa"/>
              <w:left w:w="108" w:type="dxa"/>
              <w:bottom w:w="0" w:type="dxa"/>
              <w:right w:w="108" w:type="dxa"/>
            </w:tcMar>
            <w:hideMark/>
          </w:tcPr>
          <w:p w:rsidR="00D84040" w:rsidRDefault="00D84040">
            <w:r>
              <w:t>2015</w:t>
            </w:r>
          </w:p>
        </w:tc>
      </w:tr>
      <w:tr w:rsidR="00D84040" w:rsidTr="00D84040">
        <w:tc>
          <w:tcPr>
            <w:tcW w:w="3192" w:type="dxa"/>
            <w:tcBorders>
              <w:top w:val="single" w:sz="8" w:space="0" w:color="000000"/>
              <w:left w:val="single" w:sz="8" w:space="0" w:color="000000"/>
              <w:bottom w:val="single" w:sz="8" w:space="0" w:color="000000"/>
              <w:right w:val="nil"/>
            </w:tcBorders>
            <w:shd w:val="clear" w:color="auto" w:fill="000000"/>
            <w:tcMar>
              <w:top w:w="0" w:type="dxa"/>
              <w:left w:w="108" w:type="dxa"/>
              <w:bottom w:w="0" w:type="dxa"/>
              <w:right w:w="108" w:type="dxa"/>
            </w:tcMar>
            <w:hideMark/>
          </w:tcPr>
          <w:p w:rsidR="00D84040" w:rsidRDefault="00D84040">
            <w:r>
              <w:rPr>
                <w:b/>
                <w:bCs/>
              </w:rPr>
              <w:t>Reversal agents</w:t>
            </w:r>
          </w:p>
        </w:tc>
        <w:tc>
          <w:tcPr>
            <w:tcW w:w="3730" w:type="dxa"/>
            <w:tcBorders>
              <w:top w:val="single" w:sz="8" w:space="0" w:color="000000"/>
              <w:left w:val="nil"/>
              <w:bottom w:val="single" w:sz="8" w:space="0" w:color="000000"/>
              <w:right w:val="nil"/>
            </w:tcBorders>
            <w:shd w:val="clear" w:color="auto" w:fill="000000"/>
            <w:tcMar>
              <w:top w:w="0" w:type="dxa"/>
              <w:left w:w="108" w:type="dxa"/>
              <w:bottom w:w="0" w:type="dxa"/>
              <w:right w:w="108" w:type="dxa"/>
            </w:tcMar>
            <w:hideMark/>
          </w:tcPr>
          <w:p w:rsidR="00D84040" w:rsidRDefault="00D84040">
            <w:r>
              <w:t> </w:t>
            </w:r>
          </w:p>
        </w:tc>
        <w:tc>
          <w:tcPr>
            <w:tcW w:w="2654" w:type="dxa"/>
            <w:tcBorders>
              <w:top w:val="single" w:sz="8" w:space="0" w:color="000000"/>
              <w:left w:val="nil"/>
              <w:bottom w:val="single" w:sz="8" w:space="0" w:color="000000"/>
              <w:right w:val="single" w:sz="8" w:space="0" w:color="000000"/>
            </w:tcBorders>
            <w:shd w:val="clear" w:color="auto" w:fill="000000"/>
            <w:tcMar>
              <w:top w:w="0" w:type="dxa"/>
              <w:left w:w="108" w:type="dxa"/>
              <w:bottom w:w="0" w:type="dxa"/>
              <w:right w:w="108" w:type="dxa"/>
            </w:tcMar>
            <w:hideMark/>
          </w:tcPr>
          <w:p w:rsidR="00D84040" w:rsidRDefault="00D84040">
            <w:r>
              <w:t> </w:t>
            </w:r>
          </w:p>
        </w:tc>
      </w:tr>
      <w:tr w:rsidR="00D84040" w:rsidTr="00D84040">
        <w:tc>
          <w:tcPr>
            <w:tcW w:w="3192" w:type="dxa"/>
            <w:tcBorders>
              <w:top w:val="nil"/>
              <w:left w:val="single" w:sz="8" w:space="0" w:color="000000"/>
              <w:bottom w:val="nil"/>
              <w:right w:val="nil"/>
            </w:tcBorders>
            <w:tcMar>
              <w:top w:w="0" w:type="dxa"/>
              <w:left w:w="108" w:type="dxa"/>
              <w:bottom w:w="0" w:type="dxa"/>
              <w:right w:w="108" w:type="dxa"/>
            </w:tcMar>
            <w:hideMark/>
          </w:tcPr>
          <w:p w:rsidR="00D84040" w:rsidRDefault="00D84040">
            <w:proofErr w:type="spellStart"/>
            <w:r>
              <w:rPr>
                <w:b/>
                <w:bCs/>
              </w:rPr>
              <w:t>Idarucizumab</w:t>
            </w:r>
            <w:proofErr w:type="spellEnd"/>
            <w:r>
              <w:rPr>
                <w:b/>
                <w:bCs/>
              </w:rPr>
              <w:t xml:space="preserve"> (</w:t>
            </w:r>
            <w:proofErr w:type="spellStart"/>
            <w:r>
              <w:rPr>
                <w:b/>
                <w:bCs/>
              </w:rPr>
              <w:t>Praxbind</w:t>
            </w:r>
            <w:proofErr w:type="spellEnd"/>
            <w:r>
              <w:rPr>
                <w:b/>
                <w:bCs/>
              </w:rPr>
              <w:t>)</w:t>
            </w:r>
          </w:p>
        </w:tc>
        <w:tc>
          <w:tcPr>
            <w:tcW w:w="3730" w:type="dxa"/>
            <w:tcMar>
              <w:top w:w="0" w:type="dxa"/>
              <w:left w:w="108" w:type="dxa"/>
              <w:bottom w:w="0" w:type="dxa"/>
              <w:right w:w="108" w:type="dxa"/>
            </w:tcMar>
            <w:hideMark/>
          </w:tcPr>
          <w:p w:rsidR="00D84040" w:rsidRDefault="00D84040">
            <w:r>
              <w:t>Monoclonal antibody for dabigatran reversal</w:t>
            </w:r>
          </w:p>
        </w:tc>
        <w:tc>
          <w:tcPr>
            <w:tcW w:w="2654" w:type="dxa"/>
            <w:tcBorders>
              <w:top w:val="nil"/>
              <w:left w:val="nil"/>
              <w:bottom w:val="nil"/>
              <w:right w:val="single" w:sz="8" w:space="0" w:color="000000"/>
            </w:tcBorders>
            <w:tcMar>
              <w:top w:w="0" w:type="dxa"/>
              <w:left w:w="108" w:type="dxa"/>
              <w:bottom w:w="0" w:type="dxa"/>
              <w:right w:w="108" w:type="dxa"/>
            </w:tcMar>
            <w:hideMark/>
          </w:tcPr>
          <w:p w:rsidR="00D84040" w:rsidRDefault="00D84040">
            <w:r>
              <w:t>2015</w:t>
            </w:r>
          </w:p>
        </w:tc>
      </w:tr>
      <w:tr w:rsidR="00D84040" w:rsidTr="00D84040">
        <w:tc>
          <w:tcPr>
            <w:tcW w:w="3192" w:type="dxa"/>
            <w:tcBorders>
              <w:top w:val="single" w:sz="8" w:space="0" w:color="000000"/>
              <w:left w:val="single" w:sz="8" w:space="0" w:color="000000"/>
              <w:bottom w:val="single" w:sz="8" w:space="0" w:color="000000"/>
              <w:right w:val="nil"/>
            </w:tcBorders>
            <w:tcMar>
              <w:top w:w="0" w:type="dxa"/>
              <w:left w:w="108" w:type="dxa"/>
              <w:bottom w:w="0" w:type="dxa"/>
              <w:right w:w="108" w:type="dxa"/>
            </w:tcMar>
            <w:hideMark/>
          </w:tcPr>
          <w:p w:rsidR="00D84040" w:rsidRDefault="00D84040">
            <w:proofErr w:type="spellStart"/>
            <w:r>
              <w:rPr>
                <w:b/>
                <w:bCs/>
              </w:rPr>
              <w:t>Andexanet</w:t>
            </w:r>
            <w:proofErr w:type="spellEnd"/>
          </w:p>
        </w:tc>
        <w:tc>
          <w:tcPr>
            <w:tcW w:w="3730" w:type="dxa"/>
            <w:tcBorders>
              <w:top w:val="single" w:sz="8" w:space="0" w:color="000000"/>
              <w:left w:val="nil"/>
              <w:bottom w:val="single" w:sz="8" w:space="0" w:color="000000"/>
              <w:right w:val="nil"/>
            </w:tcBorders>
            <w:tcMar>
              <w:top w:w="0" w:type="dxa"/>
              <w:left w:w="108" w:type="dxa"/>
              <w:bottom w:w="0" w:type="dxa"/>
              <w:right w:w="108" w:type="dxa"/>
            </w:tcMar>
            <w:hideMark/>
          </w:tcPr>
          <w:p w:rsidR="00D84040" w:rsidRDefault="00D84040">
            <w:r>
              <w:t xml:space="preserve">Modified factor </w:t>
            </w:r>
            <w:proofErr w:type="spellStart"/>
            <w:r>
              <w:t>Xa</w:t>
            </w:r>
            <w:proofErr w:type="spellEnd"/>
            <w:r>
              <w:t xml:space="preserve"> for </w:t>
            </w:r>
            <w:proofErr w:type="spellStart"/>
            <w:r>
              <w:t>Xa</w:t>
            </w:r>
            <w:proofErr w:type="spellEnd"/>
            <w:r>
              <w:t>-inhibitor reversal</w:t>
            </w:r>
          </w:p>
        </w:tc>
        <w:tc>
          <w:tcPr>
            <w:tcW w:w="265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D84040" w:rsidRDefault="00D84040">
            <w:r>
              <w:t>In development- anticipated 2016</w:t>
            </w:r>
          </w:p>
        </w:tc>
      </w:tr>
    </w:tbl>
    <w:p w:rsidR="00D25E5F" w:rsidRDefault="00D25E5F" w:rsidP="001F78BA">
      <w:pPr>
        <w:spacing w:after="0" w:line="240" w:lineRule="auto"/>
        <w:rPr>
          <w:b/>
          <w:u w:val="single"/>
        </w:rPr>
      </w:pPr>
    </w:p>
    <w:p w:rsidR="00D25E5F" w:rsidRDefault="00D25E5F" w:rsidP="001F78BA">
      <w:pPr>
        <w:spacing w:after="0" w:line="240" w:lineRule="auto"/>
        <w:rPr>
          <w:b/>
          <w:u w:val="single"/>
        </w:rPr>
      </w:pPr>
    </w:p>
    <w:p w:rsidR="00D25E5F" w:rsidRDefault="00D25E5F" w:rsidP="001F78BA">
      <w:pPr>
        <w:spacing w:after="0" w:line="240" w:lineRule="auto"/>
        <w:rPr>
          <w:b/>
          <w:u w:val="single"/>
        </w:rPr>
      </w:pPr>
    </w:p>
    <w:p w:rsidR="00D25E5F" w:rsidRDefault="00D25E5F" w:rsidP="001F78BA">
      <w:pPr>
        <w:spacing w:after="0" w:line="240" w:lineRule="auto"/>
        <w:rPr>
          <w:b/>
          <w:u w:val="single"/>
        </w:rPr>
      </w:pPr>
    </w:p>
    <w:p w:rsidR="00D25E5F" w:rsidRDefault="00D25E5F" w:rsidP="001F78BA">
      <w:pPr>
        <w:spacing w:after="0" w:line="240" w:lineRule="auto"/>
        <w:rPr>
          <w:b/>
          <w:u w:val="single"/>
        </w:rPr>
      </w:pPr>
    </w:p>
    <w:p w:rsidR="00D25E5F" w:rsidRDefault="00D25E5F" w:rsidP="001F78BA">
      <w:pPr>
        <w:spacing w:after="0" w:line="240" w:lineRule="auto"/>
        <w:rPr>
          <w:b/>
          <w:u w:val="single"/>
        </w:rPr>
      </w:pPr>
    </w:p>
    <w:p w:rsidR="00D25E5F" w:rsidRDefault="00D25E5F" w:rsidP="001F78BA">
      <w:pPr>
        <w:spacing w:after="0" w:line="240" w:lineRule="auto"/>
        <w:rPr>
          <w:b/>
          <w:u w:val="single"/>
        </w:rPr>
      </w:pPr>
    </w:p>
    <w:p w:rsidR="0072670B" w:rsidRPr="001F4311" w:rsidRDefault="001F4311" w:rsidP="001F78BA">
      <w:pPr>
        <w:spacing w:after="0" w:line="240" w:lineRule="auto"/>
        <w:rPr>
          <w:b/>
          <w:u w:val="single"/>
        </w:rPr>
      </w:pPr>
      <w:r>
        <w:rPr>
          <w:b/>
          <w:u w:val="single"/>
        </w:rPr>
        <w:lastRenderedPageBreak/>
        <w:t>References</w:t>
      </w:r>
    </w:p>
    <w:p w:rsidR="0072670B" w:rsidRDefault="0072670B" w:rsidP="001F78BA">
      <w:pPr>
        <w:spacing w:after="0" w:line="240" w:lineRule="auto"/>
      </w:pPr>
      <w:r>
        <w:t xml:space="preserve">1. </w:t>
      </w:r>
      <w:r w:rsidR="007700FC">
        <w:t xml:space="preserve">Ten leading causes of death by age group, United States-2009, National Vital Statistics System, National Center for Health Statistics, CDC. </w:t>
      </w:r>
      <w:hyperlink r:id="rId7" w:history="1">
        <w:r w:rsidR="007700FC" w:rsidRPr="008202D3">
          <w:rPr>
            <w:rStyle w:val="Hyperlink"/>
          </w:rPr>
          <w:t>www.cdc.gov/Injury/wisqars/pdf/10LCD-Age-Grp-US-2009-a.pdf</w:t>
        </w:r>
      </w:hyperlink>
      <w:r w:rsidR="007700FC">
        <w:t xml:space="preserve"> </w:t>
      </w:r>
    </w:p>
    <w:p w:rsidR="0072670B" w:rsidRDefault="0072670B" w:rsidP="001F78BA">
      <w:pPr>
        <w:spacing w:after="0" w:line="240" w:lineRule="auto"/>
      </w:pPr>
      <w:r>
        <w:t xml:space="preserve">2. </w:t>
      </w:r>
      <w:proofErr w:type="spellStart"/>
      <w:r>
        <w:t>Dossett</w:t>
      </w:r>
      <w:proofErr w:type="spellEnd"/>
      <w:r>
        <w:t xml:space="preserve"> </w:t>
      </w:r>
      <w:r w:rsidR="001E71FE">
        <w:t>LA, Riesel JN, Griffin MR, Cotton BA. P</w:t>
      </w:r>
      <w:r>
        <w:t xml:space="preserve">revalence and implications of preinjury warfarin use: an analysis of the NTDB.  </w:t>
      </w:r>
      <w:r w:rsidRPr="001E71FE">
        <w:rPr>
          <w:i/>
        </w:rPr>
        <w:t xml:space="preserve">Arch </w:t>
      </w:r>
      <w:r w:rsidR="001E71FE" w:rsidRPr="001E71FE">
        <w:rPr>
          <w:i/>
        </w:rPr>
        <w:t>Surg</w:t>
      </w:r>
      <w:r w:rsidR="001E71FE">
        <w:rPr>
          <w:i/>
        </w:rPr>
        <w:t>.</w:t>
      </w:r>
      <w:r w:rsidR="001E71FE" w:rsidRPr="001E71FE">
        <w:rPr>
          <w:i/>
        </w:rPr>
        <w:t xml:space="preserve"> </w:t>
      </w:r>
      <w:r w:rsidR="001E71FE">
        <w:t>2011 May; 146(5):565-570.</w:t>
      </w:r>
    </w:p>
    <w:p w:rsidR="000C5941" w:rsidRDefault="000C5941" w:rsidP="001F78BA">
      <w:pPr>
        <w:spacing w:after="0" w:line="240" w:lineRule="auto"/>
      </w:pPr>
      <w:r>
        <w:t xml:space="preserve">3. </w:t>
      </w:r>
      <w:proofErr w:type="spellStart"/>
      <w:r>
        <w:t>Siracuse</w:t>
      </w:r>
      <w:proofErr w:type="spellEnd"/>
      <w:r>
        <w:t xml:space="preserve"> </w:t>
      </w:r>
      <w:r w:rsidR="006D10C3">
        <w:t xml:space="preserve">JJ, </w:t>
      </w:r>
      <w:proofErr w:type="spellStart"/>
      <w:r w:rsidR="006D10C3">
        <w:t>Robich</w:t>
      </w:r>
      <w:proofErr w:type="spellEnd"/>
      <w:r w:rsidR="006D10C3">
        <w:t xml:space="preserve"> MP, </w:t>
      </w:r>
      <w:proofErr w:type="spellStart"/>
      <w:r w:rsidR="006D10C3">
        <w:t>Gautam</w:t>
      </w:r>
      <w:proofErr w:type="spellEnd"/>
      <w:r w:rsidR="006D10C3">
        <w:t xml:space="preserve"> S, Kasper EM, Moorman DW, Hauser CJ. A</w:t>
      </w:r>
      <w:r>
        <w:t xml:space="preserve">ntiplatelet agents, warfarin, and epidemic intracranial hemorrhage. </w:t>
      </w:r>
      <w:r w:rsidRPr="007700FC">
        <w:rPr>
          <w:i/>
        </w:rPr>
        <w:t>Surgery</w:t>
      </w:r>
      <w:r w:rsidR="007700FC">
        <w:t>.</w:t>
      </w:r>
      <w:r>
        <w:t xml:space="preserve"> 2010</w:t>
      </w:r>
      <w:r w:rsidR="007700FC">
        <w:t xml:space="preserve"> Oct; 148(4): 724-730.</w:t>
      </w:r>
    </w:p>
    <w:p w:rsidR="008041FA" w:rsidRPr="001E71FE" w:rsidRDefault="00D84040" w:rsidP="001F78BA">
      <w:pPr>
        <w:spacing w:after="0" w:line="240" w:lineRule="auto"/>
      </w:pPr>
      <w:r>
        <w:t>4</w:t>
      </w:r>
      <w:r w:rsidR="008041FA">
        <w:t xml:space="preserve">. </w:t>
      </w:r>
      <w:r w:rsidR="001E71FE">
        <w:t xml:space="preserve">Garber ST, </w:t>
      </w:r>
      <w:proofErr w:type="spellStart"/>
      <w:r w:rsidR="001E71FE">
        <w:t>Sivakumar</w:t>
      </w:r>
      <w:proofErr w:type="spellEnd"/>
      <w:r w:rsidR="001E71FE">
        <w:t xml:space="preserve"> W, Schmidt RH. Neurosurgical complications of direct thrombin inhibitors-catastrophic hemorrhage after mild traumatic brain injury in a patient receiving dabigatran. </w:t>
      </w:r>
      <w:r w:rsidR="001E71FE">
        <w:rPr>
          <w:i/>
        </w:rPr>
        <w:t xml:space="preserve">J </w:t>
      </w:r>
      <w:proofErr w:type="spellStart"/>
      <w:r w:rsidR="001E71FE">
        <w:rPr>
          <w:i/>
        </w:rPr>
        <w:t>Neurosurg</w:t>
      </w:r>
      <w:proofErr w:type="spellEnd"/>
      <w:r w:rsidR="001E71FE">
        <w:t xml:space="preserve">. 2012 May; 116(5): 1093-6. </w:t>
      </w:r>
    </w:p>
    <w:p w:rsidR="008041FA" w:rsidRPr="001E71FE" w:rsidRDefault="00D84040" w:rsidP="001F78BA">
      <w:pPr>
        <w:spacing w:after="0" w:line="240" w:lineRule="auto"/>
      </w:pPr>
      <w:r>
        <w:t>5</w:t>
      </w:r>
      <w:r w:rsidR="008041FA">
        <w:t xml:space="preserve">. </w:t>
      </w:r>
      <w:proofErr w:type="spellStart"/>
      <w:r w:rsidR="001E71FE">
        <w:t>Truumees</w:t>
      </w:r>
      <w:proofErr w:type="spellEnd"/>
      <w:r w:rsidR="001E71FE">
        <w:t xml:space="preserve"> E, </w:t>
      </w:r>
      <w:proofErr w:type="spellStart"/>
      <w:r w:rsidR="001E71FE">
        <w:t>Gaudu</w:t>
      </w:r>
      <w:proofErr w:type="spellEnd"/>
      <w:r w:rsidR="001E71FE">
        <w:t xml:space="preserve"> T, </w:t>
      </w:r>
      <w:proofErr w:type="spellStart"/>
      <w:r w:rsidR="001E71FE">
        <w:t>Dieterichs</w:t>
      </w:r>
      <w:proofErr w:type="spellEnd"/>
      <w:r w:rsidR="001E71FE">
        <w:t xml:space="preserve"> C, </w:t>
      </w:r>
      <w:proofErr w:type="spellStart"/>
      <w:r w:rsidR="001E71FE">
        <w:t>Geck</w:t>
      </w:r>
      <w:proofErr w:type="spellEnd"/>
      <w:r w:rsidR="001E71FE">
        <w:t xml:space="preserve"> M, Stokes J. Epidural hematoma and intraoperative </w:t>
      </w:r>
      <w:r w:rsidR="00732160">
        <w:t>hemorrhage in a spine trauma pati</w:t>
      </w:r>
      <w:r w:rsidR="001E71FE">
        <w:t>e</w:t>
      </w:r>
      <w:r w:rsidR="00732160">
        <w:t>n</w:t>
      </w:r>
      <w:r w:rsidR="001E71FE">
        <w:t xml:space="preserve">t on </w:t>
      </w:r>
      <w:proofErr w:type="spellStart"/>
      <w:r w:rsidR="001E71FE">
        <w:t>pradaxa</w:t>
      </w:r>
      <w:proofErr w:type="spellEnd"/>
      <w:r w:rsidR="001E71FE">
        <w:t xml:space="preserve"> (dabigatran). </w:t>
      </w:r>
      <w:r w:rsidR="001E71FE">
        <w:rPr>
          <w:i/>
        </w:rPr>
        <w:t>Spine</w:t>
      </w:r>
      <w:r w:rsidR="001E71FE">
        <w:t>. 2012 Jun; 15</w:t>
      </w:r>
      <w:proofErr w:type="gramStart"/>
      <w:r w:rsidR="001E71FE">
        <w:t>;37</w:t>
      </w:r>
      <w:proofErr w:type="gramEnd"/>
      <w:r w:rsidR="001E71FE">
        <w:t xml:space="preserve">(14):E863-5. </w:t>
      </w:r>
    </w:p>
    <w:p w:rsidR="008041FA" w:rsidRDefault="00D84040" w:rsidP="001F78BA">
      <w:pPr>
        <w:spacing w:after="0" w:line="240" w:lineRule="auto"/>
      </w:pPr>
      <w:r>
        <w:t>6</w:t>
      </w:r>
      <w:r w:rsidR="008041FA">
        <w:t xml:space="preserve">. </w:t>
      </w:r>
      <w:r w:rsidR="001E71FE">
        <w:t xml:space="preserve">Moore CH, </w:t>
      </w:r>
      <w:proofErr w:type="spellStart"/>
      <w:r w:rsidR="001E71FE">
        <w:t>Snashall</w:t>
      </w:r>
      <w:proofErr w:type="spellEnd"/>
      <w:r w:rsidR="001E71FE">
        <w:t xml:space="preserve"> J, Boniface K, Scott J. Case report: Spontaneous splenic hemorrhage after initiation of dabigatran (</w:t>
      </w:r>
      <w:proofErr w:type="spellStart"/>
      <w:r w:rsidR="001E71FE">
        <w:t>Pradaxa</w:t>
      </w:r>
      <w:proofErr w:type="spellEnd"/>
      <w:r w:rsidR="001E71FE">
        <w:t xml:space="preserve">) for atrial fibrillation. </w:t>
      </w:r>
      <w:r w:rsidR="001E71FE">
        <w:rPr>
          <w:i/>
        </w:rPr>
        <w:t xml:space="preserve">Am J of Emergency </w:t>
      </w:r>
      <w:proofErr w:type="gramStart"/>
      <w:r w:rsidR="001E71FE">
        <w:rPr>
          <w:i/>
        </w:rPr>
        <w:t>Medicine</w:t>
      </w:r>
      <w:r w:rsidR="001E71FE">
        <w:t>.</w:t>
      </w:r>
      <w:proofErr w:type="gramEnd"/>
      <w:r w:rsidR="001E71FE">
        <w:t xml:space="preserve"> 2012 </w:t>
      </w:r>
      <w:proofErr w:type="spellStart"/>
      <w:r w:rsidR="001E71FE">
        <w:t>Epub</w:t>
      </w:r>
      <w:proofErr w:type="spellEnd"/>
      <w:r w:rsidR="001E71FE">
        <w:t xml:space="preserve"> ahead of print. </w:t>
      </w:r>
    </w:p>
    <w:p w:rsidR="002D5A97" w:rsidRDefault="002D5A97" w:rsidP="001F78BA">
      <w:pPr>
        <w:spacing w:after="0" w:line="240" w:lineRule="auto"/>
      </w:pPr>
    </w:p>
    <w:p w:rsidR="002D5A97" w:rsidRDefault="002D5A97" w:rsidP="001F78BA">
      <w:pPr>
        <w:spacing w:after="0" w:line="240" w:lineRule="auto"/>
      </w:pPr>
    </w:p>
    <w:p w:rsidR="002D5A97" w:rsidRDefault="002D5A97" w:rsidP="001F78BA">
      <w:pPr>
        <w:spacing w:after="0" w:line="240" w:lineRule="auto"/>
      </w:pPr>
    </w:p>
    <w:p w:rsidR="002D5A97" w:rsidRPr="001E71FE" w:rsidRDefault="002D5A97" w:rsidP="001F78BA">
      <w:pPr>
        <w:spacing w:after="0" w:line="240" w:lineRule="auto"/>
      </w:pPr>
    </w:p>
    <w:sectPr w:rsidR="002D5A97" w:rsidRPr="001E71FE" w:rsidSect="008C3A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B31B6"/>
    <w:multiLevelType w:val="hybridMultilevel"/>
    <w:tmpl w:val="C8DEA928"/>
    <w:lvl w:ilvl="0" w:tplc="27B80410">
      <w:start w:val="1"/>
      <w:numFmt w:val="decimal"/>
      <w:lvlText w:val="%1)"/>
      <w:lvlJc w:val="left"/>
      <w:pPr>
        <w:tabs>
          <w:tab w:val="num" w:pos="1080"/>
        </w:tabs>
        <w:ind w:left="1080" w:hanging="360"/>
      </w:pPr>
      <w:rPr>
        <w:rFonts w:hint="default"/>
      </w:rPr>
    </w:lvl>
    <w:lvl w:ilvl="1" w:tplc="F984074E">
      <w:start w:val="1"/>
      <w:numFmt w:val="lowerLetter"/>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037"/>
    <w:rsid w:val="00091963"/>
    <w:rsid w:val="000C5941"/>
    <w:rsid w:val="000D181C"/>
    <w:rsid w:val="000F70B0"/>
    <w:rsid w:val="0013495C"/>
    <w:rsid w:val="001C468B"/>
    <w:rsid w:val="001E71FE"/>
    <w:rsid w:val="001F4311"/>
    <w:rsid w:val="001F667A"/>
    <w:rsid w:val="001F78BA"/>
    <w:rsid w:val="00242A7E"/>
    <w:rsid w:val="00245924"/>
    <w:rsid w:val="00283FAC"/>
    <w:rsid w:val="00286A54"/>
    <w:rsid w:val="002B01EE"/>
    <w:rsid w:val="002D5A97"/>
    <w:rsid w:val="00334037"/>
    <w:rsid w:val="00350028"/>
    <w:rsid w:val="0036579D"/>
    <w:rsid w:val="003B5C77"/>
    <w:rsid w:val="003E13AD"/>
    <w:rsid w:val="003E6967"/>
    <w:rsid w:val="004062AD"/>
    <w:rsid w:val="00436FF8"/>
    <w:rsid w:val="00441BFA"/>
    <w:rsid w:val="004E392C"/>
    <w:rsid w:val="00514DC1"/>
    <w:rsid w:val="00524636"/>
    <w:rsid w:val="0052526B"/>
    <w:rsid w:val="00530AB0"/>
    <w:rsid w:val="0053160A"/>
    <w:rsid w:val="00560B29"/>
    <w:rsid w:val="00584644"/>
    <w:rsid w:val="005A2189"/>
    <w:rsid w:val="005F6631"/>
    <w:rsid w:val="00603A9A"/>
    <w:rsid w:val="006171D5"/>
    <w:rsid w:val="00617EE1"/>
    <w:rsid w:val="006244EB"/>
    <w:rsid w:val="00636E2B"/>
    <w:rsid w:val="006A4E94"/>
    <w:rsid w:val="006D10C3"/>
    <w:rsid w:val="006D259D"/>
    <w:rsid w:val="006E1B75"/>
    <w:rsid w:val="007010A9"/>
    <w:rsid w:val="0072670B"/>
    <w:rsid w:val="00732160"/>
    <w:rsid w:val="00735122"/>
    <w:rsid w:val="007700FC"/>
    <w:rsid w:val="007C2466"/>
    <w:rsid w:val="007E69EB"/>
    <w:rsid w:val="008041FA"/>
    <w:rsid w:val="00856CE4"/>
    <w:rsid w:val="008C3AE4"/>
    <w:rsid w:val="009535FE"/>
    <w:rsid w:val="009719CC"/>
    <w:rsid w:val="00994A7F"/>
    <w:rsid w:val="00996048"/>
    <w:rsid w:val="009C0F22"/>
    <w:rsid w:val="009E04CF"/>
    <w:rsid w:val="009E3881"/>
    <w:rsid w:val="009E7EA8"/>
    <w:rsid w:val="00A565C6"/>
    <w:rsid w:val="00AD629A"/>
    <w:rsid w:val="00AE3145"/>
    <w:rsid w:val="00B41F5F"/>
    <w:rsid w:val="00B5116A"/>
    <w:rsid w:val="00BC7A43"/>
    <w:rsid w:val="00BE3780"/>
    <w:rsid w:val="00C13DC8"/>
    <w:rsid w:val="00CD14AA"/>
    <w:rsid w:val="00D10896"/>
    <w:rsid w:val="00D25E5F"/>
    <w:rsid w:val="00D63358"/>
    <w:rsid w:val="00D7106D"/>
    <w:rsid w:val="00D84040"/>
    <w:rsid w:val="00DE6895"/>
    <w:rsid w:val="00E11541"/>
    <w:rsid w:val="00E739E9"/>
    <w:rsid w:val="00E762AB"/>
    <w:rsid w:val="00EC22C7"/>
    <w:rsid w:val="00F23B05"/>
    <w:rsid w:val="00F86E57"/>
    <w:rsid w:val="00FE5A48"/>
    <w:rsid w:val="00FF70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E646325-CB34-4801-96B9-2F20E6B7E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700FC"/>
    <w:rPr>
      <w:color w:val="0000FF" w:themeColor="hyperlink"/>
      <w:u w:val="single"/>
    </w:rPr>
  </w:style>
  <w:style w:type="paragraph" w:styleId="BalloonText">
    <w:name w:val="Balloon Text"/>
    <w:basedOn w:val="Normal"/>
    <w:link w:val="BalloonTextChar"/>
    <w:uiPriority w:val="99"/>
    <w:semiHidden/>
    <w:unhideWhenUsed/>
    <w:rsid w:val="00D840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404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412132">
      <w:bodyDiv w:val="1"/>
      <w:marLeft w:val="0"/>
      <w:marRight w:val="0"/>
      <w:marTop w:val="0"/>
      <w:marBottom w:val="0"/>
      <w:divBdr>
        <w:top w:val="none" w:sz="0" w:space="0" w:color="auto"/>
        <w:left w:val="none" w:sz="0" w:space="0" w:color="auto"/>
        <w:bottom w:val="none" w:sz="0" w:space="0" w:color="auto"/>
        <w:right w:val="none" w:sz="0" w:space="0" w:color="auto"/>
      </w:divBdr>
    </w:div>
    <w:div w:id="1188720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dc.gov/Injury/wisqars/pdf/10LCD-Age-Grp-US-2009-a.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coimbra@ucsd.edu" TargetMode="External"/><Relationship Id="rId5" Type="http://schemas.openxmlformats.org/officeDocument/2006/relationships/hyperlink" Target="mailto:lkobayashi@ucsd.ed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4</Pages>
  <Words>1203</Words>
  <Characters>6859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UCSD Medical Center</Company>
  <LinksUpToDate>false</LinksUpToDate>
  <CharactersWithSpaces>8046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UCSD Medical Center</dc:creator>
  <cp:keywords/>
  <dc:description/>
  <cp:lastModifiedBy>Kobayashi, Leslie</cp:lastModifiedBy>
  <cp:revision>10</cp:revision>
  <dcterms:created xsi:type="dcterms:W3CDTF">2016-01-08T17:05:00Z</dcterms:created>
  <dcterms:modified xsi:type="dcterms:W3CDTF">2016-11-08T15:18:00Z</dcterms:modified>
</cp:coreProperties>
</file>