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D50D4" w14:textId="77777777" w:rsidR="006D7A7A" w:rsidRPr="00800D0F" w:rsidRDefault="00C94155" w:rsidP="006D7A7A">
      <w:pPr>
        <w:jc w:val="center"/>
        <w:rPr>
          <w:b/>
        </w:rPr>
      </w:pPr>
      <w:r w:rsidRPr="00800D0F">
        <w:rPr>
          <w:b/>
        </w:rPr>
        <w:t xml:space="preserve">A REVIEW OF </w:t>
      </w:r>
    </w:p>
    <w:p w14:paraId="39727FBA" w14:textId="1EA8A1FE" w:rsidR="00C258EA" w:rsidRPr="00800D0F" w:rsidRDefault="00C94155" w:rsidP="00952666">
      <w:pPr>
        <w:jc w:val="center"/>
        <w:rPr>
          <w:b/>
        </w:rPr>
      </w:pPr>
      <w:r w:rsidRPr="00800D0F">
        <w:rPr>
          <w:b/>
        </w:rPr>
        <w:t xml:space="preserve">BLUNT </w:t>
      </w:r>
      <w:r w:rsidR="006D7A7A" w:rsidRPr="00800D0F">
        <w:rPr>
          <w:b/>
        </w:rPr>
        <w:t xml:space="preserve">AND PENETRATING </w:t>
      </w:r>
      <w:r w:rsidR="00EC466F" w:rsidRPr="00800D0F">
        <w:rPr>
          <w:b/>
        </w:rPr>
        <w:t xml:space="preserve">AAST </w:t>
      </w:r>
      <w:r w:rsidR="006D7A7A" w:rsidRPr="00800D0F">
        <w:rPr>
          <w:b/>
        </w:rPr>
        <w:t xml:space="preserve">GRADE </w:t>
      </w:r>
      <w:r w:rsidR="008F2BF7" w:rsidRPr="00800D0F">
        <w:rPr>
          <w:b/>
        </w:rPr>
        <w:t xml:space="preserve">III - </w:t>
      </w:r>
      <w:r w:rsidR="006D7A7A" w:rsidRPr="00800D0F">
        <w:rPr>
          <w:b/>
        </w:rPr>
        <w:t>V LIVER INJURIES</w:t>
      </w:r>
    </w:p>
    <w:p w14:paraId="789ACA93" w14:textId="77777777" w:rsidR="00952666" w:rsidRPr="00800D0F" w:rsidRDefault="00952666" w:rsidP="00952666">
      <w:pPr>
        <w:rPr>
          <w:b/>
        </w:rPr>
      </w:pPr>
    </w:p>
    <w:p w14:paraId="655A5898" w14:textId="465B459F" w:rsidR="00952666" w:rsidRPr="00800D0F" w:rsidRDefault="00300FC5" w:rsidP="00952666">
      <w:r w:rsidRPr="00800D0F">
        <w:t xml:space="preserve">Time: </w:t>
      </w:r>
      <w:r w:rsidR="008F2BF7" w:rsidRPr="00800D0F">
        <w:t>2013</w:t>
      </w:r>
      <w:r w:rsidRPr="00800D0F">
        <w:t>-201</w:t>
      </w:r>
      <w:r w:rsidR="008E147A" w:rsidRPr="00800D0F">
        <w:t>6</w:t>
      </w:r>
    </w:p>
    <w:p w14:paraId="5605AE56" w14:textId="77777777" w:rsidR="00C94155" w:rsidRPr="00800D0F" w:rsidRDefault="00C94155"/>
    <w:p w14:paraId="32FE0165" w14:textId="77777777" w:rsidR="005B285C" w:rsidRPr="00800D0F" w:rsidRDefault="005B285C" w:rsidP="005B285C">
      <w:r w:rsidRPr="00800D0F">
        <w:t>Background:</w:t>
      </w:r>
    </w:p>
    <w:p w14:paraId="55884599" w14:textId="1BE69F67" w:rsidR="008F2BF7" w:rsidRPr="00800D0F" w:rsidRDefault="002D3ECA" w:rsidP="008F2BF7">
      <w:pPr>
        <w:autoSpaceDE w:val="0"/>
        <w:autoSpaceDN w:val="0"/>
        <w:adjustRightInd w:val="0"/>
        <w:rPr>
          <w:rFonts w:cs="Garamond-Light"/>
        </w:rPr>
      </w:pPr>
      <w:r w:rsidRPr="00800D0F">
        <w:t>Complex hepatic</w:t>
      </w:r>
      <w:r w:rsidR="00C76F5E" w:rsidRPr="00800D0F">
        <w:t xml:space="preserve"> injuries have been reported to be associated with high morbidity and mortality rates</w:t>
      </w:r>
      <w:r w:rsidR="008F2BF7" w:rsidRPr="00800D0F">
        <w:t xml:space="preserve"> related to hemorrhage and biliary leaks</w:t>
      </w:r>
      <w:r w:rsidRPr="00800D0F">
        <w:t>.</w:t>
      </w:r>
      <w:r w:rsidR="00B877AC" w:rsidRPr="00800D0F">
        <w:rPr>
          <w:vertAlign w:val="superscript"/>
        </w:rPr>
        <w:t>1</w:t>
      </w:r>
      <w:r w:rsidR="00B877AC" w:rsidRPr="00800D0F">
        <w:t xml:space="preserve"> </w:t>
      </w:r>
      <w:r w:rsidR="008F2BF7" w:rsidRPr="00800D0F">
        <w:t>W</w:t>
      </w:r>
      <w:r w:rsidR="00C76F5E" w:rsidRPr="00800D0F">
        <w:t>ith improved resolution of CT scans,</w:t>
      </w:r>
      <w:r w:rsidR="006202DB" w:rsidRPr="00800D0F">
        <w:t xml:space="preserve"> </w:t>
      </w:r>
      <w:proofErr w:type="spellStart"/>
      <w:r w:rsidR="006202DB" w:rsidRPr="00800D0F">
        <w:t>retro</w:t>
      </w:r>
      <w:r w:rsidR="00C76F5E" w:rsidRPr="00800D0F">
        <w:t>hepatic</w:t>
      </w:r>
      <w:proofErr w:type="spellEnd"/>
      <w:r w:rsidR="00C76F5E" w:rsidRPr="00800D0F">
        <w:t xml:space="preserve"> vascular abnormalities </w:t>
      </w:r>
      <w:r w:rsidR="006202DB" w:rsidRPr="00800D0F">
        <w:t xml:space="preserve">are readily identified </w:t>
      </w:r>
      <w:r w:rsidR="008F2BF7" w:rsidRPr="00800D0F">
        <w:t xml:space="preserve">but grade of injury has not shown to predict failure of non-operative management or </w:t>
      </w:r>
      <w:r w:rsidR="00B877AC" w:rsidRPr="00800D0F">
        <w:t>necessarily</w:t>
      </w:r>
      <w:r w:rsidR="008F2BF7" w:rsidRPr="00800D0F">
        <w:t xml:space="preserve"> suggest</w:t>
      </w:r>
      <w:r w:rsidR="00B877AC" w:rsidRPr="00800D0F">
        <w:t xml:space="preserve"> a higher</w:t>
      </w:r>
      <w:r w:rsidRPr="00800D0F">
        <w:t xml:space="preserve"> morbidity </w:t>
      </w:r>
      <w:r w:rsidR="00B877AC" w:rsidRPr="00800D0F">
        <w:t>or</w:t>
      </w:r>
      <w:r w:rsidRPr="00800D0F">
        <w:t xml:space="preserve"> mortality</w:t>
      </w:r>
      <w:r w:rsidR="00F0706E" w:rsidRPr="00800D0F">
        <w:t>.</w:t>
      </w:r>
      <w:r w:rsidR="008F2BF7" w:rsidRPr="00800D0F">
        <w:t xml:space="preserve">  (1-2) In Grade 4 or </w:t>
      </w:r>
      <w:proofErr w:type="gramStart"/>
      <w:r w:rsidR="008F2BF7" w:rsidRPr="00800D0F">
        <w:t>5,</w:t>
      </w:r>
      <w:proofErr w:type="gramEnd"/>
      <w:r w:rsidR="008F2BF7" w:rsidRPr="00800D0F">
        <w:t xml:space="preserve"> </w:t>
      </w:r>
      <w:proofErr w:type="spellStart"/>
      <w:r w:rsidR="008F2BF7" w:rsidRPr="00800D0F">
        <w:t>hemodynamically</w:t>
      </w:r>
      <w:proofErr w:type="spellEnd"/>
      <w:r w:rsidR="008F2BF7" w:rsidRPr="00800D0F">
        <w:t xml:space="preserve"> stable patients without another injury necessitating operative intervention and transient responders with limited transfusion requirements can be managed successfully non-operatively over 80% of the time. (3-7) Current grading systems including the AAST does not account for predictors of failure of non-operative management including arterial extravasation on CT scan, “</w:t>
      </w:r>
      <w:proofErr w:type="spellStart"/>
      <w:r w:rsidR="008F2BF7" w:rsidRPr="00800D0F">
        <w:t>peri</w:t>
      </w:r>
      <w:proofErr w:type="spellEnd"/>
      <w:r w:rsidR="008F2BF7" w:rsidRPr="00800D0F">
        <w:t xml:space="preserve">-portal tracking” of blood, and evidence of multiple solid organ injuries. </w:t>
      </w:r>
      <w:r w:rsidR="008F2BF7" w:rsidRPr="00800D0F">
        <w:rPr>
          <w:rFonts w:cs="Garamond-Light"/>
        </w:rPr>
        <w:t xml:space="preserve">(8-13) </w:t>
      </w:r>
    </w:p>
    <w:p w14:paraId="67E2EA7A" w14:textId="77777777" w:rsidR="008F2BF7" w:rsidRPr="00800D0F" w:rsidRDefault="008F2BF7" w:rsidP="005D185E">
      <w:pPr>
        <w:ind w:firstLine="720"/>
      </w:pPr>
    </w:p>
    <w:p w14:paraId="074A39BE" w14:textId="77777777" w:rsidR="008F2BF7" w:rsidRPr="00800D0F" w:rsidRDefault="008F2BF7" w:rsidP="008F2BF7">
      <w:pPr>
        <w:autoSpaceDE w:val="0"/>
        <w:autoSpaceDN w:val="0"/>
        <w:adjustRightInd w:val="0"/>
        <w:rPr>
          <w:rFonts w:cs="Garamond-Light"/>
        </w:rPr>
      </w:pPr>
      <w:r w:rsidRPr="00800D0F">
        <w:rPr>
          <w:rFonts w:cs="Garamond-Light"/>
        </w:rPr>
        <w:t xml:space="preserve">Up to 15% of patients with Grade 3-5 hepatic injury suffer delayed complications involving bile leaks and </w:t>
      </w:r>
      <w:proofErr w:type="spellStart"/>
      <w:r w:rsidRPr="00800D0F">
        <w:rPr>
          <w:rFonts w:cs="Garamond-Light"/>
        </w:rPr>
        <w:t>bilomas</w:t>
      </w:r>
      <w:proofErr w:type="spellEnd"/>
      <w:r w:rsidRPr="00800D0F">
        <w:rPr>
          <w:rFonts w:cs="Garamond-Light"/>
        </w:rPr>
        <w:t xml:space="preserve">. (14) </w:t>
      </w:r>
      <w:r w:rsidRPr="00800D0F">
        <w:rPr>
          <w:rFonts w:cs="Galliard BT"/>
          <w:color w:val="000000"/>
        </w:rPr>
        <w:t>HIDA scan is reported to be 100% sensitive and specific for the detection of bile leaks with non-operative interventions including ERCP and/or percutaneous drainage resulting in a success rate of over 90%. (15) Early recognition and treatment of bile leaks leads to decreased morbidity.  (16-18) In hemorrhagic and biliary complications of hepatic injury, failure of non-operative interventions has been shown to lead to operative intervention 25% of the time.  (19,20</w:t>
      </w:r>
      <w:proofErr w:type="gramStart"/>
      <w:r w:rsidRPr="00800D0F">
        <w:rPr>
          <w:rFonts w:cs="Galliard BT"/>
          <w:color w:val="000000"/>
        </w:rPr>
        <w:t xml:space="preserve">)  </w:t>
      </w:r>
      <w:r w:rsidRPr="00800D0F">
        <w:rPr>
          <w:rStyle w:val="A12"/>
          <w:sz w:val="24"/>
          <w:szCs w:val="24"/>
        </w:rPr>
        <w:t xml:space="preserve"> </w:t>
      </w:r>
      <w:r w:rsidRPr="00800D0F">
        <w:rPr>
          <w:rFonts w:cs="Galliard BT"/>
          <w:color w:val="000000"/>
        </w:rPr>
        <w:t>Despite</w:t>
      </w:r>
      <w:proofErr w:type="gramEnd"/>
      <w:r w:rsidRPr="00800D0F">
        <w:rPr>
          <w:rFonts w:cs="Galliard BT"/>
          <w:color w:val="000000"/>
        </w:rPr>
        <w:t xml:space="preserve"> the benefits of non</w:t>
      </w:r>
      <w:r w:rsidRPr="00800D0F">
        <w:rPr>
          <w:rFonts w:cs="Galliard BT"/>
          <w:color w:val="000000"/>
        </w:rPr>
        <w:noBreakHyphen/>
        <w:t>operative therapy, the biliary and hemorrhagic complications associated with blunt hepatic injury are unchanged.</w:t>
      </w:r>
      <w:r w:rsidRPr="00800D0F">
        <w:rPr>
          <w:rStyle w:val="A12"/>
          <w:sz w:val="24"/>
          <w:szCs w:val="24"/>
        </w:rPr>
        <w:t xml:space="preserve"> (10,15,16,21-22)</w:t>
      </w:r>
    </w:p>
    <w:p w14:paraId="4595E552" w14:textId="77777777" w:rsidR="008F2BF7" w:rsidRPr="00800D0F" w:rsidRDefault="008F2BF7" w:rsidP="008F2BF7">
      <w:pPr>
        <w:autoSpaceDE w:val="0"/>
        <w:autoSpaceDN w:val="0"/>
        <w:adjustRightInd w:val="0"/>
        <w:rPr>
          <w:rFonts w:cs="Garamond-Light"/>
        </w:rPr>
      </w:pPr>
    </w:p>
    <w:p w14:paraId="228B5694" w14:textId="77777777" w:rsidR="008F2BF7" w:rsidRPr="00800D0F" w:rsidRDefault="008F2BF7" w:rsidP="008F2BF7">
      <w:pPr>
        <w:autoSpaceDE w:val="0"/>
        <w:autoSpaceDN w:val="0"/>
        <w:adjustRightInd w:val="0"/>
      </w:pPr>
      <w:r w:rsidRPr="00800D0F">
        <w:t xml:space="preserve">In patients who do not meet clear criteria for non-operative management and have risk factors for failure of non-operative management or undergo operative </w:t>
      </w:r>
      <w:proofErr w:type="gramStart"/>
      <w:r w:rsidRPr="00800D0F">
        <w:t>intervention</w:t>
      </w:r>
      <w:proofErr w:type="gramEnd"/>
      <w:r w:rsidRPr="00800D0F">
        <w:t xml:space="preserve"> with complimentary non-operative management elucidation of an algorithm, respective of hemorrhage or biliary leak, for which each intervention(s) should be performed separately or in compliment to one another remains elusive. </w:t>
      </w:r>
    </w:p>
    <w:p w14:paraId="568532CC" w14:textId="77777777" w:rsidR="008F2BF7" w:rsidRPr="00800D0F" w:rsidRDefault="008F2BF7" w:rsidP="005D185E">
      <w:pPr>
        <w:ind w:firstLine="720"/>
      </w:pPr>
    </w:p>
    <w:p w14:paraId="4EFA9D71" w14:textId="77777777" w:rsidR="008F2BF7" w:rsidRPr="00800D0F" w:rsidRDefault="008F2BF7" w:rsidP="005D185E">
      <w:pPr>
        <w:ind w:firstLine="720"/>
      </w:pPr>
    </w:p>
    <w:p w14:paraId="7F76D003" w14:textId="797DFE18" w:rsidR="003C2F01" w:rsidRPr="00800D0F" w:rsidRDefault="00F0706E" w:rsidP="003C2F01">
      <w:r w:rsidRPr="00800D0F">
        <w:t xml:space="preserve">The objectives of this study are: </w:t>
      </w:r>
    </w:p>
    <w:p w14:paraId="0C170CBD" w14:textId="7248B282" w:rsidR="00AC2D78" w:rsidRPr="00800D0F" w:rsidRDefault="00F0706E" w:rsidP="003C2F01">
      <w:r w:rsidRPr="00800D0F">
        <w:t>1)</w:t>
      </w:r>
      <w:r w:rsidR="006202DB" w:rsidRPr="00800D0F">
        <w:t xml:space="preserve"> </w:t>
      </w:r>
      <w:proofErr w:type="gramStart"/>
      <w:r w:rsidR="00AC2D78" w:rsidRPr="00800D0F">
        <w:t>to</w:t>
      </w:r>
      <w:proofErr w:type="gramEnd"/>
      <w:r w:rsidR="00AC2D78" w:rsidRPr="00800D0F">
        <w:t xml:space="preserve"> characterize hepatic injuries based upon CT findings </w:t>
      </w:r>
      <w:proofErr w:type="spellStart"/>
      <w:r w:rsidR="00AC2D78" w:rsidRPr="00800D0F">
        <w:rPr>
          <w:rFonts w:cs="Helvetica"/>
          <w:color w:val="2E2E2E"/>
        </w:rPr>
        <w:t>intraperitoneal</w:t>
      </w:r>
      <w:proofErr w:type="spellEnd"/>
      <w:r w:rsidR="00AC2D78" w:rsidRPr="00800D0F">
        <w:rPr>
          <w:rFonts w:cs="Helvetica"/>
          <w:color w:val="2E2E2E"/>
        </w:rPr>
        <w:t xml:space="preserve"> versus intra-parenchymal hemorrhage, contrast pooling, </w:t>
      </w:r>
      <w:proofErr w:type="spellStart"/>
      <w:r w:rsidR="00AC2D78" w:rsidRPr="00800D0F">
        <w:rPr>
          <w:rFonts w:cs="Helvetica"/>
          <w:color w:val="2E2E2E"/>
        </w:rPr>
        <w:t>juxtahepatic</w:t>
      </w:r>
      <w:proofErr w:type="spellEnd"/>
      <w:r w:rsidR="00AC2D78" w:rsidRPr="00800D0F">
        <w:rPr>
          <w:rFonts w:cs="Helvetica"/>
          <w:color w:val="2E2E2E"/>
        </w:rPr>
        <w:t xml:space="preserve"> injuries, number of </w:t>
      </w:r>
      <w:proofErr w:type="spellStart"/>
      <w:r w:rsidR="00AC2D78" w:rsidRPr="00800D0F">
        <w:rPr>
          <w:rFonts w:cs="Helvetica"/>
          <w:color w:val="2E2E2E"/>
        </w:rPr>
        <w:t>couinaud</w:t>
      </w:r>
      <w:proofErr w:type="spellEnd"/>
      <w:r w:rsidR="00AC2D78" w:rsidRPr="00800D0F">
        <w:rPr>
          <w:rFonts w:cs="Helvetica"/>
          <w:color w:val="2E2E2E"/>
        </w:rPr>
        <w:t xml:space="preserve"> segments</w:t>
      </w:r>
      <w:r w:rsidR="00AC2D78" w:rsidRPr="00800D0F">
        <w:t xml:space="preserve"> injured and association with non-operative versus operative management   </w:t>
      </w:r>
    </w:p>
    <w:p w14:paraId="6B5055B2" w14:textId="14FD2513" w:rsidR="00AC2D78" w:rsidRPr="00800D0F" w:rsidRDefault="00F0706E" w:rsidP="003C2F01">
      <w:r w:rsidRPr="00800D0F">
        <w:t xml:space="preserve">2) </w:t>
      </w:r>
      <w:proofErr w:type="gramStart"/>
      <w:r w:rsidRPr="00800D0F">
        <w:t>to</w:t>
      </w:r>
      <w:proofErr w:type="gramEnd"/>
      <w:r w:rsidRPr="00800D0F">
        <w:t xml:space="preserve"> </w:t>
      </w:r>
      <w:r w:rsidR="00AC2D78" w:rsidRPr="00800D0F">
        <w:t xml:space="preserve">examine </w:t>
      </w:r>
      <w:r w:rsidRPr="00800D0F">
        <w:t>timing</w:t>
      </w:r>
      <w:r w:rsidR="00AC2D78" w:rsidRPr="00800D0F">
        <w:t xml:space="preserve"> of angiography in relation to CT scan for total blood products transfused</w:t>
      </w:r>
    </w:p>
    <w:p w14:paraId="03F47FDC" w14:textId="3FA8C80C" w:rsidR="005D185E" w:rsidRPr="00800D0F" w:rsidRDefault="00AC2D78" w:rsidP="003C2F01">
      <w:r w:rsidRPr="00800D0F">
        <w:t xml:space="preserve">3) </w:t>
      </w:r>
      <w:proofErr w:type="gramStart"/>
      <w:r w:rsidRPr="00800D0F">
        <w:t>to</w:t>
      </w:r>
      <w:proofErr w:type="gramEnd"/>
      <w:r w:rsidRPr="00800D0F">
        <w:t xml:space="preserve"> define timing of intervention </w:t>
      </w:r>
      <w:r w:rsidR="005D185E" w:rsidRPr="00800D0F">
        <w:t>for</w:t>
      </w:r>
      <w:r w:rsidR="00F0706E" w:rsidRPr="00800D0F">
        <w:t xml:space="preserve"> bile leak</w:t>
      </w:r>
      <w:r w:rsidRPr="00800D0F">
        <w:t xml:space="preserve"> or </w:t>
      </w:r>
      <w:proofErr w:type="spellStart"/>
      <w:r w:rsidRPr="00800D0F">
        <w:t>biloma</w:t>
      </w:r>
      <w:proofErr w:type="spellEnd"/>
      <w:r w:rsidRPr="00800D0F">
        <w:t xml:space="preserve"> (operative intervention, percutaneous drainage, ERCP) and resolution </w:t>
      </w:r>
      <w:r w:rsidR="005D185E" w:rsidRPr="00800D0F">
        <w:t>of bile leak</w:t>
      </w:r>
      <w:r w:rsidRPr="00800D0F">
        <w:t xml:space="preserve"> or </w:t>
      </w:r>
      <w:proofErr w:type="spellStart"/>
      <w:r w:rsidRPr="00800D0F">
        <w:t>biloma</w:t>
      </w:r>
      <w:proofErr w:type="spellEnd"/>
      <w:r w:rsidR="00F0706E" w:rsidRPr="00800D0F">
        <w:t xml:space="preserve">. </w:t>
      </w:r>
    </w:p>
    <w:p w14:paraId="55D9C781" w14:textId="77777777" w:rsidR="00AC2D78" w:rsidRPr="00800D0F" w:rsidRDefault="00AC2D78" w:rsidP="003C2F01"/>
    <w:p w14:paraId="1EC77CA0" w14:textId="77777777" w:rsidR="00AC2D78" w:rsidRPr="00800D0F" w:rsidRDefault="00AC2D78" w:rsidP="003C2F01"/>
    <w:p w14:paraId="6604DB04" w14:textId="77777777" w:rsidR="00AC2D78" w:rsidRPr="00800D0F" w:rsidRDefault="005D185E" w:rsidP="005D185E">
      <w:pPr>
        <w:ind w:firstLine="720"/>
        <w:rPr>
          <w:rFonts w:cs="Helvetica"/>
          <w:color w:val="2E2E2E"/>
        </w:rPr>
      </w:pPr>
      <w:r w:rsidRPr="00800D0F">
        <w:rPr>
          <w:rFonts w:cs="Helvetica"/>
          <w:color w:val="2E2E2E"/>
        </w:rPr>
        <w:t xml:space="preserve">Our hypotheses are: </w:t>
      </w:r>
    </w:p>
    <w:p w14:paraId="635320F0" w14:textId="77777777" w:rsidR="00AC2D78" w:rsidRPr="00800D0F" w:rsidRDefault="00AC2D78" w:rsidP="005D185E">
      <w:pPr>
        <w:ind w:firstLine="720"/>
        <w:rPr>
          <w:rFonts w:cs="Helvetica"/>
          <w:color w:val="2E2E2E"/>
        </w:rPr>
      </w:pPr>
    </w:p>
    <w:p w14:paraId="07237407" w14:textId="77777777" w:rsidR="00AC2D78" w:rsidRPr="00800D0F" w:rsidRDefault="00AC2D78" w:rsidP="00AC2D78">
      <w:pPr>
        <w:rPr>
          <w:rFonts w:cs="Helvetica"/>
          <w:color w:val="2E2E2E"/>
        </w:rPr>
      </w:pPr>
      <w:r w:rsidRPr="00800D0F">
        <w:rPr>
          <w:rFonts w:cs="Helvetica"/>
          <w:color w:val="2E2E2E"/>
        </w:rPr>
        <w:t xml:space="preserve">1) </w:t>
      </w:r>
      <w:r w:rsidRPr="00800D0F">
        <w:rPr>
          <w:color w:val="000000"/>
        </w:rPr>
        <w:t xml:space="preserve">Characteristics present on CT including intra-peritoneal hemorrhage, contrast pooling, </w:t>
      </w:r>
      <w:proofErr w:type="spellStart"/>
      <w:r w:rsidRPr="00800D0F">
        <w:rPr>
          <w:color w:val="000000"/>
        </w:rPr>
        <w:t>retrocaval</w:t>
      </w:r>
      <w:proofErr w:type="spellEnd"/>
      <w:r w:rsidRPr="00800D0F">
        <w:rPr>
          <w:color w:val="000000"/>
        </w:rPr>
        <w:t xml:space="preserve"> injuries and higher number of </w:t>
      </w:r>
      <w:proofErr w:type="spellStart"/>
      <w:r w:rsidRPr="00800D0F">
        <w:rPr>
          <w:color w:val="000000"/>
        </w:rPr>
        <w:t>couinaud</w:t>
      </w:r>
      <w:proofErr w:type="spellEnd"/>
      <w:r w:rsidRPr="00800D0F">
        <w:rPr>
          <w:color w:val="000000"/>
        </w:rPr>
        <w:t xml:space="preserve"> segments injured may be associated with either of increased risk of complications or failure of non-operative intervention or need for operative management.</w:t>
      </w:r>
    </w:p>
    <w:p w14:paraId="7626E60A" w14:textId="77777777" w:rsidR="00AC2D78" w:rsidRPr="00800D0F" w:rsidRDefault="00AC2D78" w:rsidP="00AC2D78">
      <w:pPr>
        <w:rPr>
          <w:rFonts w:cs="Helvetica"/>
          <w:color w:val="2E2E2E"/>
        </w:rPr>
      </w:pPr>
      <w:r w:rsidRPr="00800D0F">
        <w:rPr>
          <w:rFonts w:cs="Helvetica"/>
          <w:color w:val="2E2E2E"/>
        </w:rPr>
        <w:t>2) Earlier angiography will reduce total blood products transfused.</w:t>
      </w:r>
    </w:p>
    <w:p w14:paraId="4D5401FF" w14:textId="77777777" w:rsidR="00AC2D78" w:rsidRPr="00800D0F" w:rsidRDefault="00AC2D78" w:rsidP="00AC2D78">
      <w:pPr>
        <w:rPr>
          <w:rFonts w:cs="Helvetica"/>
          <w:color w:val="2E2E2E"/>
        </w:rPr>
      </w:pPr>
      <w:r w:rsidRPr="00800D0F">
        <w:rPr>
          <w:rFonts w:cs="Helvetica"/>
          <w:color w:val="2E2E2E"/>
        </w:rPr>
        <w:t xml:space="preserve">3) Earlier identification, treatment of bile leak or </w:t>
      </w:r>
      <w:proofErr w:type="spellStart"/>
      <w:r w:rsidRPr="00800D0F">
        <w:rPr>
          <w:rFonts w:cs="Helvetica"/>
          <w:color w:val="2E2E2E"/>
        </w:rPr>
        <w:t>biloma</w:t>
      </w:r>
      <w:proofErr w:type="spellEnd"/>
      <w:r w:rsidRPr="00800D0F">
        <w:rPr>
          <w:rFonts w:cs="Helvetica"/>
          <w:color w:val="2E2E2E"/>
        </w:rPr>
        <w:t xml:space="preserve"> will result in shorter duration to resolution to bile leak or </w:t>
      </w:r>
      <w:proofErr w:type="spellStart"/>
      <w:r w:rsidRPr="00800D0F">
        <w:rPr>
          <w:rFonts w:cs="Helvetica"/>
          <w:color w:val="2E2E2E"/>
        </w:rPr>
        <w:t>biloma</w:t>
      </w:r>
      <w:proofErr w:type="spellEnd"/>
      <w:r w:rsidRPr="00800D0F">
        <w:rPr>
          <w:rFonts w:cs="Helvetica"/>
          <w:color w:val="2E2E2E"/>
        </w:rPr>
        <w:t xml:space="preserve">.  </w:t>
      </w:r>
    </w:p>
    <w:p w14:paraId="2ADD70ED" w14:textId="77777777" w:rsidR="00AC2D78" w:rsidRPr="00800D0F" w:rsidRDefault="00AC2D78" w:rsidP="005D185E">
      <w:pPr>
        <w:ind w:firstLine="720"/>
        <w:rPr>
          <w:rFonts w:cs="Helvetica"/>
          <w:color w:val="2E2E2E"/>
        </w:rPr>
      </w:pPr>
    </w:p>
    <w:p w14:paraId="0C41ED0C" w14:textId="77777777" w:rsidR="00AC2D78" w:rsidRPr="00800D0F" w:rsidRDefault="00AC2D78" w:rsidP="00AC2D78">
      <w:pPr>
        <w:rPr>
          <w:rFonts w:cs="Helvetica"/>
          <w:color w:val="2E2E2E"/>
        </w:rPr>
      </w:pPr>
    </w:p>
    <w:p w14:paraId="582F9AA2" w14:textId="77777777" w:rsidR="00AC2D78" w:rsidRPr="00800D0F" w:rsidRDefault="00AC2D78" w:rsidP="00AC2D78">
      <w:pPr>
        <w:rPr>
          <w:rFonts w:cs="Helvetica"/>
          <w:color w:val="2E2E2E"/>
        </w:rPr>
      </w:pPr>
      <w:r w:rsidRPr="00800D0F">
        <w:rPr>
          <w:rFonts w:cs="Helvetica"/>
          <w:color w:val="2E2E2E"/>
        </w:rPr>
        <w:t>References</w:t>
      </w:r>
    </w:p>
    <w:p w14:paraId="354C1850" w14:textId="77777777" w:rsidR="00AC2D78" w:rsidRPr="00800D0F" w:rsidRDefault="00AC2D78" w:rsidP="00AC2D78">
      <w:pPr>
        <w:rPr>
          <w:rStyle w:val="element-citation"/>
          <w:lang w:val="en"/>
        </w:rPr>
      </w:pPr>
      <w:r w:rsidRPr="00800D0F">
        <w:rPr>
          <w:rStyle w:val="element-citation"/>
          <w:rFonts w:cs="Helvetica"/>
          <w:color w:val="2E2E2E"/>
          <w:lang w:val="en"/>
        </w:rPr>
        <w:t>1.</w:t>
      </w:r>
      <w:r w:rsidRPr="00800D0F">
        <w:rPr>
          <w:rStyle w:val="element-citation"/>
          <w:lang w:val="en"/>
        </w:rPr>
        <w:t xml:space="preserve"> Schwab CW. Selection of nonoperative management candidates. </w:t>
      </w:r>
      <w:r w:rsidRPr="00800D0F">
        <w:rPr>
          <w:rStyle w:val="ref-journal"/>
          <w:lang w:val="en"/>
        </w:rPr>
        <w:t xml:space="preserve">World J Surg. </w:t>
      </w:r>
      <w:r w:rsidRPr="00800D0F">
        <w:rPr>
          <w:rStyle w:val="element-citation"/>
          <w:lang w:val="en"/>
        </w:rPr>
        <w:t>2001;</w:t>
      </w:r>
      <w:r w:rsidRPr="00800D0F">
        <w:rPr>
          <w:rStyle w:val="ref-vol"/>
          <w:lang w:val="en"/>
        </w:rPr>
        <w:t>25</w:t>
      </w:r>
      <w:r w:rsidRPr="00800D0F">
        <w:rPr>
          <w:rStyle w:val="element-citation"/>
          <w:lang w:val="en"/>
        </w:rPr>
        <w:t xml:space="preserve">:1389–92. </w:t>
      </w:r>
    </w:p>
    <w:p w14:paraId="434D7846" w14:textId="77777777" w:rsidR="00AC2D78" w:rsidRPr="00800D0F" w:rsidRDefault="00AC2D78" w:rsidP="00AC2D78">
      <w:pPr>
        <w:rPr>
          <w:rFonts w:cs="Helvetica"/>
          <w:color w:val="2E2E2E"/>
        </w:rPr>
      </w:pPr>
      <w:r w:rsidRPr="00800D0F">
        <w:rPr>
          <w:rStyle w:val="element-citation"/>
          <w:lang w:val="en"/>
        </w:rPr>
        <w:t>2.</w:t>
      </w:r>
      <w:r w:rsidRPr="00800D0F">
        <w:rPr>
          <w:rStyle w:val="nowrap"/>
          <w:lang w:val="en"/>
        </w:rPr>
        <w:t xml:space="preserve"> </w:t>
      </w:r>
      <w:proofErr w:type="spellStart"/>
      <w:r w:rsidRPr="00800D0F">
        <w:rPr>
          <w:rFonts w:cs="Helvetica"/>
          <w:color w:val="2E2E2E"/>
        </w:rPr>
        <w:t>Malhotra</w:t>
      </w:r>
      <w:proofErr w:type="spellEnd"/>
      <w:r w:rsidRPr="00800D0F">
        <w:rPr>
          <w:rFonts w:cs="Helvetica"/>
          <w:color w:val="2E2E2E"/>
        </w:rPr>
        <w:t xml:space="preserve">, AK, Fabian TC, </w:t>
      </w:r>
      <w:proofErr w:type="gramStart"/>
      <w:r w:rsidRPr="00800D0F">
        <w:rPr>
          <w:rFonts w:cs="Helvetica"/>
          <w:color w:val="2E2E2E"/>
        </w:rPr>
        <w:t>Croce</w:t>
      </w:r>
      <w:proofErr w:type="gramEnd"/>
      <w:r w:rsidRPr="00800D0F">
        <w:rPr>
          <w:rFonts w:cs="Helvetica"/>
          <w:color w:val="2E2E2E"/>
        </w:rPr>
        <w:t xml:space="preserve"> MA, et al. Blunt hepatic injury: a paradigm shift from operative to </w:t>
      </w:r>
      <w:proofErr w:type="spellStart"/>
      <w:r w:rsidRPr="00800D0F">
        <w:rPr>
          <w:rFonts w:cs="Helvetica"/>
          <w:color w:val="2E2E2E"/>
        </w:rPr>
        <w:t>nonoperative</w:t>
      </w:r>
      <w:proofErr w:type="spellEnd"/>
      <w:r w:rsidRPr="00800D0F">
        <w:rPr>
          <w:rFonts w:cs="Helvetica"/>
          <w:color w:val="2E2E2E"/>
        </w:rPr>
        <w:t xml:space="preserve"> management in the 1990s. Ann </w:t>
      </w:r>
      <w:proofErr w:type="spellStart"/>
      <w:r w:rsidRPr="00800D0F">
        <w:rPr>
          <w:rFonts w:cs="Helvetica"/>
          <w:color w:val="2E2E2E"/>
        </w:rPr>
        <w:t>Surg</w:t>
      </w:r>
      <w:proofErr w:type="spellEnd"/>
      <w:r w:rsidRPr="00800D0F">
        <w:rPr>
          <w:rFonts w:cs="Helvetica"/>
          <w:color w:val="2E2E2E"/>
        </w:rPr>
        <w:t xml:space="preserve"> 2000</w:t>
      </w:r>
      <w:proofErr w:type="gramStart"/>
      <w:r w:rsidRPr="00800D0F">
        <w:rPr>
          <w:rFonts w:cs="Helvetica"/>
          <w:color w:val="2E2E2E"/>
        </w:rPr>
        <w:t>;231</w:t>
      </w:r>
      <w:proofErr w:type="gramEnd"/>
      <w:r w:rsidRPr="00800D0F">
        <w:rPr>
          <w:rFonts w:cs="Helvetica"/>
          <w:color w:val="2E2E2E"/>
        </w:rPr>
        <w:t>(6):804-13.</w:t>
      </w:r>
    </w:p>
    <w:p w14:paraId="0E0BECA6" w14:textId="77777777" w:rsidR="00AC2D78" w:rsidRPr="00800D0F" w:rsidRDefault="00AC2D78" w:rsidP="00AC2D78">
      <w:pPr>
        <w:rPr>
          <w:rFonts w:cs="Helvetica"/>
          <w:color w:val="2E2E2E"/>
        </w:rPr>
      </w:pPr>
      <w:r w:rsidRPr="00800D0F">
        <w:rPr>
          <w:rFonts w:cs="Helvetica"/>
          <w:color w:val="2E2E2E"/>
        </w:rPr>
        <w:t xml:space="preserve">3. Carrillo EH, Spain D, </w:t>
      </w:r>
      <w:proofErr w:type="spellStart"/>
      <w:r w:rsidRPr="00800D0F">
        <w:rPr>
          <w:rFonts w:cs="Helvetica"/>
          <w:color w:val="2E2E2E"/>
        </w:rPr>
        <w:t>Wohltmann</w:t>
      </w:r>
      <w:proofErr w:type="spellEnd"/>
      <w:r w:rsidRPr="00800D0F">
        <w:rPr>
          <w:rFonts w:cs="Helvetica"/>
          <w:color w:val="2E2E2E"/>
        </w:rPr>
        <w:t xml:space="preserve"> CD, et al. Interventional Techniques are Useful Adjuncts in </w:t>
      </w:r>
      <w:proofErr w:type="spellStart"/>
      <w:r w:rsidRPr="00800D0F">
        <w:rPr>
          <w:rFonts w:cs="Helvetica"/>
          <w:color w:val="2E2E2E"/>
        </w:rPr>
        <w:t>Nonoperative</w:t>
      </w:r>
      <w:proofErr w:type="spellEnd"/>
      <w:r w:rsidRPr="00800D0F">
        <w:rPr>
          <w:rFonts w:cs="Helvetica"/>
          <w:color w:val="2E2E2E"/>
        </w:rPr>
        <w:t xml:space="preserve"> Management of Hepatic Injuries. J Trauma 1999</w:t>
      </w:r>
      <w:proofErr w:type="gramStart"/>
      <w:r w:rsidRPr="00800D0F">
        <w:rPr>
          <w:rFonts w:cs="Helvetica"/>
          <w:color w:val="2E2E2E"/>
        </w:rPr>
        <w:t>;46</w:t>
      </w:r>
      <w:proofErr w:type="gramEnd"/>
      <w:r w:rsidRPr="00800D0F">
        <w:rPr>
          <w:rFonts w:cs="Helvetica"/>
          <w:color w:val="2E2E2E"/>
        </w:rPr>
        <w:t>(4):619:624.</w:t>
      </w:r>
    </w:p>
    <w:p w14:paraId="7A826043" w14:textId="77777777" w:rsidR="00AC2D78" w:rsidRPr="00800D0F" w:rsidRDefault="00AC2D78" w:rsidP="00AC2D78">
      <w:pPr>
        <w:autoSpaceDE w:val="0"/>
        <w:autoSpaceDN w:val="0"/>
        <w:adjustRightInd w:val="0"/>
        <w:rPr>
          <w:lang w:val="en"/>
        </w:rPr>
      </w:pPr>
      <w:r w:rsidRPr="00800D0F">
        <w:rPr>
          <w:lang w:val="en"/>
        </w:rPr>
        <w:t xml:space="preserve">4. </w:t>
      </w:r>
      <w:r w:rsidRPr="00800D0F">
        <w:rPr>
          <w:rStyle w:val="element-citation"/>
          <w:lang w:val="en"/>
        </w:rPr>
        <w:t xml:space="preserve">Goan YG, Huang MS, Lin JM. Nonoperative management for extensive hepatic and splenic injuries with significant hemoperitoneum in adults. </w:t>
      </w:r>
      <w:r w:rsidRPr="00800D0F">
        <w:rPr>
          <w:rStyle w:val="ref-journal"/>
          <w:lang w:val="en"/>
        </w:rPr>
        <w:t xml:space="preserve">J Trauma. </w:t>
      </w:r>
      <w:r w:rsidRPr="00800D0F">
        <w:rPr>
          <w:rStyle w:val="element-citation"/>
          <w:lang w:val="en"/>
        </w:rPr>
        <w:t>1998;</w:t>
      </w:r>
      <w:r w:rsidRPr="00800D0F">
        <w:rPr>
          <w:rStyle w:val="ref-vol"/>
          <w:lang w:val="en"/>
        </w:rPr>
        <w:t>45</w:t>
      </w:r>
      <w:r w:rsidRPr="00800D0F">
        <w:rPr>
          <w:rStyle w:val="element-citation"/>
          <w:lang w:val="en"/>
        </w:rPr>
        <w:t>:360–</w:t>
      </w:r>
    </w:p>
    <w:p w14:paraId="76B3E0E0" w14:textId="77777777" w:rsidR="00AC2D78" w:rsidRPr="00800D0F" w:rsidRDefault="00AC2D78" w:rsidP="00AC2D78">
      <w:pPr>
        <w:rPr>
          <w:lang w:val="en"/>
        </w:rPr>
      </w:pPr>
      <w:r w:rsidRPr="00800D0F">
        <w:rPr>
          <w:lang w:val="en"/>
        </w:rPr>
        <w:t xml:space="preserve">5. </w:t>
      </w:r>
      <w:r w:rsidRPr="00800D0F">
        <w:rPr>
          <w:rStyle w:val="element-citation"/>
          <w:lang w:val="en"/>
        </w:rPr>
        <w:t xml:space="preserve">Meredith JW, Young JS, Bowling J, Roboussin D. Nonoperative management of blunt hepatic trauma: The exception or the rule? </w:t>
      </w:r>
      <w:r w:rsidRPr="00800D0F">
        <w:rPr>
          <w:rStyle w:val="ref-journal"/>
          <w:lang w:val="en"/>
        </w:rPr>
        <w:t xml:space="preserve">J Trauma. </w:t>
      </w:r>
      <w:r w:rsidRPr="00800D0F">
        <w:rPr>
          <w:rStyle w:val="element-citation"/>
          <w:lang w:val="en"/>
        </w:rPr>
        <w:t>1994;</w:t>
      </w:r>
      <w:r w:rsidRPr="00800D0F">
        <w:rPr>
          <w:rStyle w:val="ref-vol"/>
          <w:lang w:val="en"/>
        </w:rPr>
        <w:t>36</w:t>
      </w:r>
      <w:r w:rsidRPr="00800D0F">
        <w:rPr>
          <w:rStyle w:val="element-citation"/>
          <w:lang w:val="en"/>
        </w:rPr>
        <w:t xml:space="preserve">:529–34. </w:t>
      </w:r>
    </w:p>
    <w:p w14:paraId="6DC6D900" w14:textId="77777777" w:rsidR="00AC2D78" w:rsidRPr="00800D0F" w:rsidRDefault="00AC2D78" w:rsidP="00AC2D78">
      <w:pPr>
        <w:rPr>
          <w:lang w:val="en"/>
        </w:rPr>
      </w:pPr>
      <w:r w:rsidRPr="00800D0F">
        <w:rPr>
          <w:lang w:val="en"/>
        </w:rPr>
        <w:t xml:space="preserve">6. </w:t>
      </w:r>
      <w:r w:rsidRPr="00800D0F">
        <w:rPr>
          <w:rStyle w:val="element-citation"/>
          <w:lang w:val="en"/>
        </w:rPr>
        <w:t xml:space="preserve">American Association for the Surgery of Trauma. </w:t>
      </w:r>
      <w:r w:rsidRPr="00800D0F">
        <w:rPr>
          <w:rStyle w:val="ref-journal"/>
          <w:lang w:val="en"/>
        </w:rPr>
        <w:t>AAST Injury Scaling and Scoring System, Daphne, AL.</w:t>
      </w:r>
      <w:r w:rsidRPr="00800D0F">
        <w:rPr>
          <w:rStyle w:val="element-citation"/>
          <w:lang w:val="en"/>
        </w:rPr>
        <w:t xml:space="preserve"> 1998. [Last accessed on 2018 Mar 15]. Available from: </w:t>
      </w:r>
      <w:hyperlink r:id="rId9" w:history="1">
        <w:r w:rsidRPr="00800D0F">
          <w:rPr>
            <w:rStyle w:val="Hyperlink"/>
            <w:lang w:val="en"/>
          </w:rPr>
          <w:t>http://www.aast.org/injury/injury.html</w:t>
        </w:r>
      </w:hyperlink>
      <w:r w:rsidRPr="00800D0F">
        <w:rPr>
          <w:rStyle w:val="element-citation"/>
          <w:lang w:val="en"/>
        </w:rPr>
        <w:t xml:space="preserve"> .</w:t>
      </w:r>
    </w:p>
    <w:p w14:paraId="007FB6EF" w14:textId="77777777" w:rsidR="00AC2D78" w:rsidRPr="00800D0F" w:rsidRDefault="00AC2D78" w:rsidP="00AC2D78">
      <w:pPr>
        <w:rPr>
          <w:lang w:val="en"/>
        </w:rPr>
      </w:pPr>
      <w:r w:rsidRPr="00800D0F">
        <w:rPr>
          <w:lang w:val="en"/>
        </w:rPr>
        <w:t xml:space="preserve">7. </w:t>
      </w:r>
      <w:r w:rsidRPr="00800D0F">
        <w:rPr>
          <w:rStyle w:val="element-citation"/>
          <w:lang w:val="en"/>
        </w:rPr>
        <w:t xml:space="preserve">Croce MA, Fabian TC, Menke PG, Waddle-Smith L, Minard G, Kudsk KA, et al. Nonoperative management of blunt hepatic trauma is the treatment of choice for hemodynamically stable patients. Results of a prospective trial. </w:t>
      </w:r>
      <w:r w:rsidRPr="00800D0F">
        <w:rPr>
          <w:rStyle w:val="ref-journal"/>
          <w:lang w:val="en"/>
        </w:rPr>
        <w:t xml:space="preserve">Ann Surg. </w:t>
      </w:r>
      <w:r w:rsidRPr="00800D0F">
        <w:rPr>
          <w:rStyle w:val="element-citation"/>
          <w:lang w:val="en"/>
        </w:rPr>
        <w:t>1995;</w:t>
      </w:r>
      <w:r w:rsidRPr="00800D0F">
        <w:rPr>
          <w:rStyle w:val="ref-vol"/>
          <w:lang w:val="en"/>
        </w:rPr>
        <w:t>221</w:t>
      </w:r>
      <w:r w:rsidRPr="00800D0F">
        <w:rPr>
          <w:rStyle w:val="element-citation"/>
          <w:lang w:val="en"/>
        </w:rPr>
        <w:t xml:space="preserve">:744–53. </w:t>
      </w:r>
    </w:p>
    <w:p w14:paraId="3E99B1E3" w14:textId="77777777" w:rsidR="00AC2D78" w:rsidRPr="00800D0F" w:rsidRDefault="00AC2D78" w:rsidP="00AC2D78">
      <w:pPr>
        <w:autoSpaceDE w:val="0"/>
        <w:autoSpaceDN w:val="0"/>
        <w:adjustRightInd w:val="0"/>
        <w:rPr>
          <w:rFonts w:cs="Garamond-Light"/>
        </w:rPr>
      </w:pPr>
      <w:r w:rsidRPr="00800D0F">
        <w:rPr>
          <w:rFonts w:cs="Garamond-Light"/>
        </w:rPr>
        <w:t xml:space="preserve">8. </w:t>
      </w:r>
      <w:proofErr w:type="spellStart"/>
      <w:r w:rsidRPr="00800D0F">
        <w:rPr>
          <w:rFonts w:cs="Garamond-Light"/>
        </w:rPr>
        <w:t>Malhorta</w:t>
      </w:r>
      <w:proofErr w:type="spellEnd"/>
      <w:r w:rsidRPr="00800D0F">
        <w:rPr>
          <w:rFonts w:cs="Garamond-Light"/>
        </w:rPr>
        <w:t xml:space="preserve"> AK, </w:t>
      </w:r>
      <w:proofErr w:type="spellStart"/>
      <w:r w:rsidRPr="00800D0F">
        <w:rPr>
          <w:rFonts w:cs="Garamond-Light"/>
        </w:rPr>
        <w:t>Latifi</w:t>
      </w:r>
      <w:proofErr w:type="spellEnd"/>
      <w:r w:rsidRPr="00800D0F">
        <w:rPr>
          <w:rFonts w:cs="Garamond-Light"/>
        </w:rPr>
        <w:t xml:space="preserve"> R, Fabian TC, et al. Multiplicity of solid organ injury: influence on management and outcomes after blunt abdominal trauma. </w:t>
      </w:r>
      <w:r w:rsidRPr="00800D0F">
        <w:rPr>
          <w:rFonts w:cs="Garamond-LightItalic"/>
          <w:i/>
          <w:iCs/>
        </w:rPr>
        <w:t>J Trauma</w:t>
      </w:r>
      <w:r w:rsidRPr="00800D0F">
        <w:rPr>
          <w:rFonts w:cs="Garamond-Light"/>
        </w:rPr>
        <w:t>. 2003</w:t>
      </w:r>
      <w:proofErr w:type="gramStart"/>
      <w:r w:rsidRPr="00800D0F">
        <w:rPr>
          <w:rFonts w:cs="Garamond-Light"/>
        </w:rPr>
        <w:t>;54:925</w:t>
      </w:r>
      <w:proofErr w:type="gramEnd"/>
      <w:r w:rsidRPr="00800D0F">
        <w:rPr>
          <w:rFonts w:cs="Garamond-Light"/>
        </w:rPr>
        <w:t>-929.</w:t>
      </w:r>
    </w:p>
    <w:p w14:paraId="294A1ABF" w14:textId="77777777" w:rsidR="00AC2D78" w:rsidRPr="00800D0F" w:rsidRDefault="00AC2D78" w:rsidP="00AC2D78">
      <w:pPr>
        <w:autoSpaceDE w:val="0"/>
        <w:autoSpaceDN w:val="0"/>
        <w:adjustRightInd w:val="0"/>
        <w:rPr>
          <w:rFonts w:cs="Garamond-Light"/>
        </w:rPr>
      </w:pPr>
      <w:r w:rsidRPr="00800D0F">
        <w:rPr>
          <w:rFonts w:cs="Garamond-Light"/>
        </w:rPr>
        <w:t xml:space="preserve">9. </w:t>
      </w:r>
      <w:proofErr w:type="spellStart"/>
      <w:r w:rsidRPr="00800D0F">
        <w:rPr>
          <w:rFonts w:cs="Garamond-Light"/>
        </w:rPr>
        <w:t>Pachter</w:t>
      </w:r>
      <w:proofErr w:type="spellEnd"/>
      <w:r w:rsidRPr="00800D0F">
        <w:rPr>
          <w:rFonts w:cs="Garamond-Light"/>
        </w:rPr>
        <w:t xml:space="preserve"> HL, Knudson MM, </w:t>
      </w:r>
      <w:proofErr w:type="spellStart"/>
      <w:r w:rsidRPr="00800D0F">
        <w:rPr>
          <w:rFonts w:cs="Garamond-Light"/>
        </w:rPr>
        <w:t>Esrig</w:t>
      </w:r>
      <w:proofErr w:type="spellEnd"/>
      <w:r w:rsidRPr="00800D0F">
        <w:rPr>
          <w:rFonts w:cs="Garamond-Light"/>
        </w:rPr>
        <w:t xml:space="preserve"> B, et al. Status of </w:t>
      </w:r>
      <w:proofErr w:type="spellStart"/>
      <w:r w:rsidRPr="00800D0F">
        <w:rPr>
          <w:rFonts w:cs="Garamond-Light"/>
        </w:rPr>
        <w:t>nonoperative</w:t>
      </w:r>
      <w:proofErr w:type="spellEnd"/>
      <w:r w:rsidRPr="00800D0F">
        <w:rPr>
          <w:rFonts w:cs="Garamond-Light"/>
        </w:rPr>
        <w:t xml:space="preserve"> management of blunt hepatic injuries in 1995: a multicenter experience with 404 patients. </w:t>
      </w:r>
      <w:r w:rsidRPr="00800D0F">
        <w:rPr>
          <w:rFonts w:cs="Garamond-LightItalic"/>
          <w:i/>
          <w:iCs/>
        </w:rPr>
        <w:t xml:space="preserve">J Trauma. </w:t>
      </w:r>
      <w:r w:rsidRPr="00800D0F">
        <w:rPr>
          <w:rFonts w:cs="Garamond-Light"/>
        </w:rPr>
        <w:t>1996</w:t>
      </w:r>
      <w:proofErr w:type="gramStart"/>
      <w:r w:rsidRPr="00800D0F">
        <w:rPr>
          <w:rFonts w:cs="Garamond-Light"/>
        </w:rPr>
        <w:t>;40:31</w:t>
      </w:r>
      <w:proofErr w:type="gramEnd"/>
      <w:r w:rsidRPr="00800D0F">
        <w:rPr>
          <w:rFonts w:cs="Garamond-Light"/>
        </w:rPr>
        <w:t>-38.</w:t>
      </w:r>
    </w:p>
    <w:p w14:paraId="1AF0E90E" w14:textId="77777777" w:rsidR="00AC2D78" w:rsidRPr="00800D0F" w:rsidRDefault="00AC2D78" w:rsidP="00AC2D78">
      <w:pPr>
        <w:autoSpaceDE w:val="0"/>
        <w:autoSpaceDN w:val="0"/>
        <w:adjustRightInd w:val="0"/>
        <w:rPr>
          <w:rFonts w:cs="Garamond-Light"/>
        </w:rPr>
      </w:pPr>
      <w:r w:rsidRPr="00800D0F">
        <w:rPr>
          <w:rFonts w:cs="Garamond-Light"/>
        </w:rPr>
        <w:t xml:space="preserve">10. </w:t>
      </w:r>
      <w:proofErr w:type="spellStart"/>
      <w:r w:rsidRPr="00800D0F">
        <w:rPr>
          <w:rFonts w:cs="Garamond-Light"/>
        </w:rPr>
        <w:t>Velmahos</w:t>
      </w:r>
      <w:proofErr w:type="spellEnd"/>
      <w:r w:rsidRPr="00800D0F">
        <w:rPr>
          <w:rFonts w:cs="Garamond-Light"/>
        </w:rPr>
        <w:t xml:space="preserve"> GC, </w:t>
      </w:r>
      <w:proofErr w:type="spellStart"/>
      <w:r w:rsidRPr="00800D0F">
        <w:rPr>
          <w:rFonts w:cs="Garamond-Light"/>
        </w:rPr>
        <w:t>Toutouzas</w:t>
      </w:r>
      <w:proofErr w:type="spellEnd"/>
      <w:r w:rsidRPr="00800D0F">
        <w:rPr>
          <w:rFonts w:cs="Garamond-Light"/>
        </w:rPr>
        <w:t xml:space="preserve"> K, </w:t>
      </w:r>
      <w:proofErr w:type="spellStart"/>
      <w:r w:rsidRPr="00800D0F">
        <w:rPr>
          <w:rFonts w:cs="Garamond-Light"/>
        </w:rPr>
        <w:t>Radin</w:t>
      </w:r>
      <w:proofErr w:type="spellEnd"/>
      <w:r w:rsidRPr="00800D0F">
        <w:rPr>
          <w:rFonts w:cs="Garamond-Light"/>
        </w:rPr>
        <w:t xml:space="preserve"> R, et al. High success with </w:t>
      </w:r>
      <w:proofErr w:type="spellStart"/>
      <w:r w:rsidRPr="00800D0F">
        <w:rPr>
          <w:rFonts w:cs="Garamond-Light"/>
        </w:rPr>
        <w:t>nonoperative</w:t>
      </w:r>
      <w:proofErr w:type="spellEnd"/>
      <w:r w:rsidRPr="00800D0F">
        <w:rPr>
          <w:rFonts w:cs="Garamond-Light"/>
        </w:rPr>
        <w:t xml:space="preserve"> management of blunt hepatic trauma: the liver is a sturdy organ. </w:t>
      </w:r>
      <w:r w:rsidRPr="00800D0F">
        <w:rPr>
          <w:rFonts w:cs="Garamond-LightItalic"/>
          <w:i/>
          <w:iCs/>
        </w:rPr>
        <w:t>Arch Surg</w:t>
      </w:r>
      <w:r w:rsidRPr="00800D0F">
        <w:rPr>
          <w:rFonts w:cs="Garamond-Light"/>
        </w:rPr>
        <w:t>. 2003</w:t>
      </w:r>
      <w:proofErr w:type="gramStart"/>
      <w:r w:rsidRPr="00800D0F">
        <w:rPr>
          <w:rFonts w:cs="Garamond-Light"/>
        </w:rPr>
        <w:t>;138:475</w:t>
      </w:r>
      <w:proofErr w:type="gramEnd"/>
      <w:r w:rsidRPr="00800D0F">
        <w:rPr>
          <w:rFonts w:cs="Garamond-Light"/>
        </w:rPr>
        <w:t>-481.</w:t>
      </w:r>
    </w:p>
    <w:p w14:paraId="2729857F" w14:textId="77777777" w:rsidR="00AC2D78" w:rsidRPr="00800D0F" w:rsidRDefault="00AC2D78" w:rsidP="00AC2D78">
      <w:pPr>
        <w:autoSpaceDE w:val="0"/>
        <w:autoSpaceDN w:val="0"/>
        <w:adjustRightInd w:val="0"/>
        <w:rPr>
          <w:rFonts w:cs="Garamond-Light"/>
        </w:rPr>
      </w:pPr>
      <w:proofErr w:type="gramStart"/>
      <w:r w:rsidRPr="00800D0F">
        <w:rPr>
          <w:rFonts w:cs="Garamond-Light"/>
        </w:rPr>
        <w:t xml:space="preserve">11. </w:t>
      </w:r>
      <w:proofErr w:type="spellStart"/>
      <w:r w:rsidRPr="00800D0F">
        <w:rPr>
          <w:rFonts w:cs="Garamond-Light"/>
        </w:rPr>
        <w:t>Gao</w:t>
      </w:r>
      <w:proofErr w:type="spellEnd"/>
      <w:proofErr w:type="gramEnd"/>
      <w:r w:rsidRPr="00800D0F">
        <w:rPr>
          <w:rFonts w:cs="Garamond-Light"/>
        </w:rPr>
        <w:t xml:space="preserve"> J, Du D, Zhao X, et al. Liver trauma: experience in 348 cases. </w:t>
      </w:r>
      <w:r w:rsidRPr="00800D0F">
        <w:rPr>
          <w:rFonts w:cs="Garamond-LightItalic"/>
          <w:i/>
          <w:iCs/>
        </w:rPr>
        <w:t>World J Surg</w:t>
      </w:r>
      <w:r w:rsidRPr="00800D0F">
        <w:rPr>
          <w:rFonts w:cs="Garamond-Light"/>
        </w:rPr>
        <w:t>. 2003</w:t>
      </w:r>
      <w:proofErr w:type="gramStart"/>
      <w:r w:rsidRPr="00800D0F">
        <w:rPr>
          <w:rFonts w:cs="Garamond-Light"/>
        </w:rPr>
        <w:t>;27:703</w:t>
      </w:r>
      <w:proofErr w:type="gramEnd"/>
      <w:r w:rsidRPr="00800D0F">
        <w:rPr>
          <w:rFonts w:cs="Garamond-Light"/>
        </w:rPr>
        <w:t>-708.</w:t>
      </w:r>
    </w:p>
    <w:p w14:paraId="7EF31095" w14:textId="77777777" w:rsidR="00AC2D78" w:rsidRPr="00800D0F" w:rsidRDefault="00AC2D78" w:rsidP="00AC2D78">
      <w:pPr>
        <w:autoSpaceDE w:val="0"/>
        <w:autoSpaceDN w:val="0"/>
        <w:adjustRightInd w:val="0"/>
        <w:rPr>
          <w:rFonts w:cs="Garamond-Light"/>
        </w:rPr>
      </w:pPr>
      <w:r w:rsidRPr="00800D0F">
        <w:rPr>
          <w:rFonts w:cs="Garamond-Light"/>
        </w:rPr>
        <w:t xml:space="preserve">12. </w:t>
      </w:r>
      <w:proofErr w:type="spellStart"/>
      <w:r w:rsidRPr="00800D0F">
        <w:rPr>
          <w:rFonts w:cs="Garamond-Light"/>
        </w:rPr>
        <w:t>DiGiacomo</w:t>
      </w:r>
      <w:proofErr w:type="spellEnd"/>
      <w:r w:rsidRPr="00800D0F">
        <w:rPr>
          <w:rFonts w:cs="Garamond-Light"/>
        </w:rPr>
        <w:t xml:space="preserve"> JC, </w:t>
      </w:r>
      <w:proofErr w:type="spellStart"/>
      <w:r w:rsidRPr="00800D0F">
        <w:rPr>
          <w:rFonts w:cs="Garamond-Light"/>
        </w:rPr>
        <w:t>McGonigal</w:t>
      </w:r>
      <w:proofErr w:type="spellEnd"/>
      <w:r w:rsidRPr="00800D0F">
        <w:rPr>
          <w:rFonts w:cs="Garamond-Light"/>
        </w:rPr>
        <w:t xml:space="preserve"> M, </w:t>
      </w:r>
      <w:proofErr w:type="spellStart"/>
      <w:r w:rsidRPr="00800D0F">
        <w:rPr>
          <w:rFonts w:cs="Garamond-Light"/>
        </w:rPr>
        <w:t>Haskal</w:t>
      </w:r>
      <w:proofErr w:type="spellEnd"/>
      <w:r w:rsidRPr="00800D0F">
        <w:rPr>
          <w:rFonts w:cs="Garamond-Light"/>
        </w:rPr>
        <w:t xml:space="preserve"> Z, et al. Arterial bleeding diagnosed by CT in </w:t>
      </w:r>
      <w:proofErr w:type="spellStart"/>
      <w:r w:rsidRPr="00800D0F">
        <w:rPr>
          <w:rFonts w:cs="Garamond-Light"/>
        </w:rPr>
        <w:t>hemodynamically</w:t>
      </w:r>
      <w:proofErr w:type="spellEnd"/>
      <w:r w:rsidRPr="00800D0F">
        <w:rPr>
          <w:rFonts w:cs="Garamond-Light"/>
        </w:rPr>
        <w:t xml:space="preserve"> stable victims of blunt trauma. </w:t>
      </w:r>
      <w:r w:rsidRPr="00800D0F">
        <w:rPr>
          <w:rFonts w:cs="Garamond-LightItalic"/>
          <w:i/>
          <w:iCs/>
        </w:rPr>
        <w:t>J Trauma</w:t>
      </w:r>
      <w:r w:rsidRPr="00800D0F">
        <w:rPr>
          <w:rFonts w:cs="Garamond-Light"/>
        </w:rPr>
        <w:t>. 1996</w:t>
      </w:r>
      <w:proofErr w:type="gramStart"/>
      <w:r w:rsidRPr="00800D0F">
        <w:rPr>
          <w:rFonts w:cs="Garamond-Light"/>
        </w:rPr>
        <w:t>;40:249</w:t>
      </w:r>
      <w:proofErr w:type="gramEnd"/>
      <w:r w:rsidRPr="00800D0F">
        <w:rPr>
          <w:rFonts w:cs="Garamond-Light"/>
        </w:rPr>
        <w:t>-252.</w:t>
      </w:r>
    </w:p>
    <w:p w14:paraId="4DD00DDA" w14:textId="77777777" w:rsidR="00AC2D78" w:rsidRPr="00800D0F" w:rsidRDefault="00AC2D78" w:rsidP="00AC2D78">
      <w:pPr>
        <w:autoSpaceDE w:val="0"/>
        <w:autoSpaceDN w:val="0"/>
        <w:adjustRightInd w:val="0"/>
        <w:rPr>
          <w:rFonts w:cs="Garamond-Light"/>
        </w:rPr>
      </w:pPr>
      <w:r w:rsidRPr="00800D0F">
        <w:rPr>
          <w:rFonts w:cs="Garamond-Light"/>
        </w:rPr>
        <w:lastRenderedPageBreak/>
        <w:t xml:space="preserve">13. Davis KA, Brody JM, </w:t>
      </w:r>
      <w:proofErr w:type="spellStart"/>
      <w:r w:rsidRPr="00800D0F">
        <w:rPr>
          <w:rFonts w:cs="Garamond-Light"/>
        </w:rPr>
        <w:t>Cioffi</w:t>
      </w:r>
      <w:proofErr w:type="spellEnd"/>
      <w:r w:rsidRPr="00800D0F">
        <w:rPr>
          <w:rFonts w:cs="Garamond-Light"/>
        </w:rPr>
        <w:t xml:space="preserve"> WG. Computed tomography in blunt hepatic trauma. </w:t>
      </w:r>
      <w:r w:rsidRPr="00800D0F">
        <w:rPr>
          <w:rFonts w:cs="Garamond-LightItalic"/>
          <w:i/>
          <w:iCs/>
        </w:rPr>
        <w:t>Arch Surg</w:t>
      </w:r>
      <w:r w:rsidRPr="00800D0F">
        <w:rPr>
          <w:rFonts w:cs="Garamond-Light"/>
        </w:rPr>
        <w:t>. 1996</w:t>
      </w:r>
      <w:proofErr w:type="gramStart"/>
      <w:r w:rsidRPr="00800D0F">
        <w:rPr>
          <w:rFonts w:cs="Garamond-Light"/>
        </w:rPr>
        <w:t>;131:255</w:t>
      </w:r>
      <w:proofErr w:type="gramEnd"/>
      <w:r w:rsidRPr="00800D0F">
        <w:rPr>
          <w:rFonts w:cs="Garamond-Light"/>
        </w:rPr>
        <w:t>-260.</w:t>
      </w:r>
    </w:p>
    <w:p w14:paraId="41B0496C" w14:textId="77777777" w:rsidR="00AC2D78" w:rsidRPr="00800D0F" w:rsidRDefault="00AC2D78" w:rsidP="00AC2D78">
      <w:pPr>
        <w:autoSpaceDE w:val="0"/>
        <w:autoSpaceDN w:val="0"/>
        <w:adjustRightInd w:val="0"/>
        <w:rPr>
          <w:rFonts w:cs="Garamond-Light"/>
        </w:rPr>
      </w:pPr>
      <w:r w:rsidRPr="00800D0F">
        <w:rPr>
          <w:rFonts w:cs="Garamond-Light"/>
        </w:rPr>
        <w:t xml:space="preserve">14. </w:t>
      </w:r>
      <w:proofErr w:type="spellStart"/>
      <w:r w:rsidRPr="00800D0F">
        <w:rPr>
          <w:rFonts w:cs="Garamond-Light"/>
        </w:rPr>
        <w:t>Alicuben</w:t>
      </w:r>
      <w:proofErr w:type="spellEnd"/>
      <w:r w:rsidRPr="00800D0F">
        <w:rPr>
          <w:rFonts w:cs="Garamond-Light"/>
        </w:rPr>
        <w:t xml:space="preserve">, ET, Matsuoka L, </w:t>
      </w:r>
      <w:proofErr w:type="spellStart"/>
      <w:r w:rsidRPr="00800D0F">
        <w:rPr>
          <w:rFonts w:cs="Garamond-Light"/>
        </w:rPr>
        <w:t>Alexopoulos</w:t>
      </w:r>
      <w:proofErr w:type="spellEnd"/>
      <w:r w:rsidRPr="00800D0F">
        <w:rPr>
          <w:rFonts w:cs="Garamond-Light"/>
        </w:rPr>
        <w:t xml:space="preserve"> S, et al. Bile Leaks after Severe Liver Trauma. J Am </w:t>
      </w:r>
      <w:proofErr w:type="spellStart"/>
      <w:r w:rsidRPr="00800D0F">
        <w:rPr>
          <w:rFonts w:cs="Garamond-Light"/>
        </w:rPr>
        <w:t>Coll</w:t>
      </w:r>
      <w:proofErr w:type="spellEnd"/>
      <w:r w:rsidRPr="00800D0F">
        <w:rPr>
          <w:rFonts w:cs="Garamond-Light"/>
        </w:rPr>
        <w:t xml:space="preserve"> </w:t>
      </w:r>
      <w:proofErr w:type="spellStart"/>
      <w:r w:rsidRPr="00800D0F">
        <w:rPr>
          <w:rFonts w:cs="Garamond-Light"/>
        </w:rPr>
        <w:t>Surg</w:t>
      </w:r>
      <w:proofErr w:type="spellEnd"/>
      <w:r w:rsidRPr="00800D0F">
        <w:rPr>
          <w:rFonts w:cs="Garamond-Light"/>
        </w:rPr>
        <w:t xml:space="preserve"> 2016</w:t>
      </w:r>
      <w:proofErr w:type="gramStart"/>
      <w:r w:rsidRPr="00800D0F">
        <w:rPr>
          <w:rFonts w:cs="Garamond-Light"/>
        </w:rPr>
        <w:t>;233</w:t>
      </w:r>
      <w:proofErr w:type="gramEnd"/>
      <w:r w:rsidRPr="00800D0F">
        <w:rPr>
          <w:rFonts w:cs="Garamond-Light"/>
        </w:rPr>
        <w:t xml:space="preserve">(4):196. </w:t>
      </w:r>
    </w:p>
    <w:p w14:paraId="22FD9D49" w14:textId="77777777" w:rsidR="00AC2D78" w:rsidRPr="00800D0F" w:rsidRDefault="00AC2D78" w:rsidP="00AC2D78">
      <w:pPr>
        <w:autoSpaceDE w:val="0"/>
        <w:autoSpaceDN w:val="0"/>
        <w:adjustRightInd w:val="0"/>
        <w:rPr>
          <w:rFonts w:cs="Arial Narrow"/>
          <w:color w:val="000000"/>
        </w:rPr>
      </w:pPr>
      <w:r w:rsidRPr="00800D0F">
        <w:rPr>
          <w:rFonts w:cs="Arial Narrow"/>
          <w:color w:val="000000"/>
        </w:rPr>
        <w:t xml:space="preserve">15. Wahl WL, Brandt MM, </w:t>
      </w:r>
      <w:proofErr w:type="spellStart"/>
      <w:r w:rsidRPr="00800D0F">
        <w:rPr>
          <w:rFonts w:cs="Arial Narrow"/>
          <w:color w:val="000000"/>
        </w:rPr>
        <w:t>Hemmila</w:t>
      </w:r>
      <w:proofErr w:type="spellEnd"/>
      <w:r w:rsidRPr="00800D0F">
        <w:rPr>
          <w:rFonts w:cs="Arial Narrow"/>
          <w:color w:val="000000"/>
        </w:rPr>
        <w:t xml:space="preserve"> MR, </w:t>
      </w:r>
      <w:proofErr w:type="spellStart"/>
      <w:r w:rsidRPr="00800D0F">
        <w:rPr>
          <w:rFonts w:cs="Arial Narrow"/>
          <w:color w:val="000000"/>
        </w:rPr>
        <w:t>Arbabi</w:t>
      </w:r>
      <w:proofErr w:type="spellEnd"/>
      <w:r w:rsidRPr="00800D0F">
        <w:rPr>
          <w:rFonts w:cs="Arial Narrow"/>
          <w:color w:val="000000"/>
        </w:rPr>
        <w:t xml:space="preserve"> S. Diagnosis and management of bile leaks after blunt liver injury. Surgery 2005</w:t>
      </w:r>
      <w:proofErr w:type="gramStart"/>
      <w:r w:rsidRPr="00800D0F">
        <w:rPr>
          <w:rFonts w:cs="Arial Narrow"/>
          <w:color w:val="000000"/>
        </w:rPr>
        <w:t>;138:742</w:t>
      </w:r>
      <w:proofErr w:type="gramEnd"/>
      <w:r w:rsidRPr="00800D0F">
        <w:rPr>
          <w:rFonts w:cs="Arial Narrow"/>
          <w:color w:val="000000"/>
        </w:rPr>
        <w:noBreakHyphen/>
        <w:t>7.</w:t>
      </w:r>
    </w:p>
    <w:p w14:paraId="7687C651" w14:textId="77777777" w:rsidR="00AC2D78" w:rsidRPr="00800D0F" w:rsidRDefault="00AC2D78" w:rsidP="00AC2D78">
      <w:pPr>
        <w:autoSpaceDE w:val="0"/>
        <w:autoSpaceDN w:val="0"/>
        <w:adjustRightInd w:val="0"/>
        <w:rPr>
          <w:rFonts w:cs="Garamond-Light"/>
        </w:rPr>
      </w:pPr>
      <w:r w:rsidRPr="00800D0F">
        <w:rPr>
          <w:rFonts w:cs="Arial Narrow"/>
          <w:color w:val="000000"/>
        </w:rPr>
        <w:t xml:space="preserve">16. </w:t>
      </w:r>
      <w:proofErr w:type="spellStart"/>
      <w:r w:rsidRPr="00800D0F">
        <w:rPr>
          <w:rFonts w:cs="Arial Narrow"/>
          <w:color w:val="000000"/>
        </w:rPr>
        <w:t>Velmahos</w:t>
      </w:r>
      <w:proofErr w:type="spellEnd"/>
      <w:r w:rsidRPr="00800D0F">
        <w:rPr>
          <w:rFonts w:cs="Arial Narrow"/>
          <w:color w:val="000000"/>
        </w:rPr>
        <w:t xml:space="preserve"> GC, </w:t>
      </w:r>
      <w:proofErr w:type="spellStart"/>
      <w:r w:rsidRPr="00800D0F">
        <w:rPr>
          <w:rFonts w:cs="Arial Narrow"/>
          <w:color w:val="000000"/>
        </w:rPr>
        <w:t>Toutouzas</w:t>
      </w:r>
      <w:proofErr w:type="spellEnd"/>
      <w:r w:rsidRPr="00800D0F">
        <w:rPr>
          <w:rFonts w:cs="Arial Narrow"/>
          <w:color w:val="000000"/>
        </w:rPr>
        <w:t xml:space="preserve"> KG, </w:t>
      </w:r>
      <w:proofErr w:type="spellStart"/>
      <w:r w:rsidRPr="00800D0F">
        <w:rPr>
          <w:rFonts w:cs="Arial Narrow"/>
          <w:color w:val="000000"/>
        </w:rPr>
        <w:t>Radin</w:t>
      </w:r>
      <w:proofErr w:type="spellEnd"/>
      <w:r w:rsidRPr="00800D0F">
        <w:rPr>
          <w:rFonts w:cs="Arial Narrow"/>
          <w:color w:val="000000"/>
        </w:rPr>
        <w:t xml:space="preserve"> R, Chan L, </w:t>
      </w:r>
      <w:proofErr w:type="spellStart"/>
      <w:r w:rsidRPr="00800D0F">
        <w:rPr>
          <w:rFonts w:cs="Arial Narrow"/>
          <w:color w:val="000000"/>
        </w:rPr>
        <w:t>Demetriades</w:t>
      </w:r>
      <w:proofErr w:type="spellEnd"/>
      <w:r w:rsidRPr="00800D0F">
        <w:rPr>
          <w:rFonts w:cs="Arial Narrow"/>
          <w:color w:val="000000"/>
        </w:rPr>
        <w:t xml:space="preserve"> D. </w:t>
      </w:r>
      <w:proofErr w:type="spellStart"/>
      <w:r w:rsidRPr="00800D0F">
        <w:rPr>
          <w:rFonts w:cs="Arial Narrow"/>
          <w:color w:val="000000"/>
        </w:rPr>
        <w:t>Nonoperative</w:t>
      </w:r>
      <w:proofErr w:type="spellEnd"/>
      <w:r w:rsidRPr="00800D0F">
        <w:rPr>
          <w:rFonts w:cs="Arial Narrow"/>
          <w:color w:val="000000"/>
        </w:rPr>
        <w:t xml:space="preserve"> treatment of blunt injury to solid abdominal organs: A prospective study. Arch </w:t>
      </w:r>
      <w:proofErr w:type="spellStart"/>
      <w:r w:rsidRPr="00800D0F">
        <w:rPr>
          <w:rFonts w:cs="Arial Narrow"/>
          <w:color w:val="000000"/>
        </w:rPr>
        <w:t>Surg</w:t>
      </w:r>
      <w:proofErr w:type="spellEnd"/>
      <w:r w:rsidRPr="00800D0F">
        <w:rPr>
          <w:rFonts w:cs="Arial Narrow"/>
          <w:color w:val="000000"/>
        </w:rPr>
        <w:t xml:space="preserve"> 2003</w:t>
      </w:r>
      <w:proofErr w:type="gramStart"/>
      <w:r w:rsidRPr="00800D0F">
        <w:rPr>
          <w:rFonts w:cs="Arial Narrow"/>
          <w:color w:val="000000"/>
        </w:rPr>
        <w:t>;138:844</w:t>
      </w:r>
      <w:proofErr w:type="gramEnd"/>
      <w:r w:rsidRPr="00800D0F">
        <w:rPr>
          <w:rFonts w:cs="Arial Narrow"/>
          <w:color w:val="000000"/>
        </w:rPr>
        <w:noBreakHyphen/>
        <w:t>51.</w:t>
      </w:r>
    </w:p>
    <w:p w14:paraId="51D01898" w14:textId="77777777" w:rsidR="00AC2D78" w:rsidRPr="00800D0F" w:rsidRDefault="00AC2D78" w:rsidP="00AC2D78">
      <w:pPr>
        <w:rPr>
          <w:rFonts w:cs="Arial Narrow"/>
          <w:color w:val="000000"/>
        </w:rPr>
      </w:pPr>
      <w:r w:rsidRPr="00800D0F">
        <w:rPr>
          <w:rFonts w:cs="Arial Narrow"/>
          <w:color w:val="000000"/>
        </w:rPr>
        <w:t xml:space="preserve">17. </w:t>
      </w:r>
      <w:proofErr w:type="spellStart"/>
      <w:r w:rsidRPr="00800D0F">
        <w:rPr>
          <w:rFonts w:cs="Arial Narrow"/>
          <w:color w:val="000000"/>
        </w:rPr>
        <w:t>Kozar</w:t>
      </w:r>
      <w:proofErr w:type="spellEnd"/>
      <w:r w:rsidRPr="00800D0F">
        <w:rPr>
          <w:rFonts w:cs="Arial Narrow"/>
          <w:color w:val="000000"/>
        </w:rPr>
        <w:t xml:space="preserve"> RA, Moore FA, </w:t>
      </w:r>
      <w:proofErr w:type="spellStart"/>
      <w:r w:rsidRPr="00800D0F">
        <w:rPr>
          <w:rFonts w:cs="Arial Narrow"/>
          <w:color w:val="000000"/>
        </w:rPr>
        <w:t>Cothren</w:t>
      </w:r>
      <w:proofErr w:type="spellEnd"/>
      <w:r w:rsidRPr="00800D0F">
        <w:rPr>
          <w:rFonts w:cs="Arial Narrow"/>
          <w:color w:val="000000"/>
        </w:rPr>
        <w:t xml:space="preserve"> CC, Moore EE, </w:t>
      </w:r>
      <w:proofErr w:type="spellStart"/>
      <w:r w:rsidRPr="00800D0F">
        <w:rPr>
          <w:rFonts w:cs="Arial Narrow"/>
          <w:color w:val="000000"/>
        </w:rPr>
        <w:t>Sena</w:t>
      </w:r>
      <w:proofErr w:type="spellEnd"/>
      <w:r w:rsidRPr="00800D0F">
        <w:rPr>
          <w:rFonts w:cs="Arial Narrow"/>
          <w:color w:val="000000"/>
        </w:rPr>
        <w:t xml:space="preserve"> M, </w:t>
      </w:r>
      <w:proofErr w:type="spellStart"/>
      <w:r w:rsidRPr="00800D0F">
        <w:rPr>
          <w:rFonts w:cs="Arial Narrow"/>
          <w:color w:val="000000"/>
        </w:rPr>
        <w:t>Bulger</w:t>
      </w:r>
      <w:proofErr w:type="spellEnd"/>
      <w:r w:rsidRPr="00800D0F">
        <w:rPr>
          <w:rFonts w:cs="Arial Narrow"/>
          <w:color w:val="000000"/>
        </w:rPr>
        <w:t xml:space="preserve"> EM, </w:t>
      </w:r>
      <w:r w:rsidRPr="00800D0F">
        <w:rPr>
          <w:rFonts w:cs="Arial Narrow"/>
          <w:i/>
          <w:iCs/>
          <w:color w:val="000000"/>
        </w:rPr>
        <w:t xml:space="preserve">et al. </w:t>
      </w:r>
      <w:r w:rsidRPr="00800D0F">
        <w:rPr>
          <w:rFonts w:cs="Arial Narrow"/>
          <w:color w:val="000000"/>
        </w:rPr>
        <w:t xml:space="preserve">Risk factors for hepatic morbidity following </w:t>
      </w:r>
      <w:proofErr w:type="spellStart"/>
      <w:r w:rsidRPr="00800D0F">
        <w:rPr>
          <w:rFonts w:cs="Arial Narrow"/>
          <w:color w:val="000000"/>
        </w:rPr>
        <w:t>nonoperative</w:t>
      </w:r>
      <w:proofErr w:type="spellEnd"/>
      <w:r w:rsidRPr="00800D0F">
        <w:rPr>
          <w:rFonts w:cs="Arial Narrow"/>
          <w:color w:val="000000"/>
        </w:rPr>
        <w:t xml:space="preserve"> management: Multicenter study. Arch </w:t>
      </w:r>
      <w:proofErr w:type="spellStart"/>
      <w:r w:rsidRPr="00800D0F">
        <w:rPr>
          <w:rFonts w:cs="Arial Narrow"/>
          <w:color w:val="000000"/>
        </w:rPr>
        <w:t>Surg</w:t>
      </w:r>
      <w:proofErr w:type="spellEnd"/>
      <w:r w:rsidRPr="00800D0F">
        <w:rPr>
          <w:rFonts w:cs="Arial Narrow"/>
          <w:color w:val="000000"/>
        </w:rPr>
        <w:t xml:space="preserve"> 2006</w:t>
      </w:r>
      <w:proofErr w:type="gramStart"/>
      <w:r w:rsidRPr="00800D0F">
        <w:rPr>
          <w:rFonts w:cs="Arial Narrow"/>
          <w:color w:val="000000"/>
        </w:rPr>
        <w:t>;141:451</w:t>
      </w:r>
      <w:proofErr w:type="gramEnd"/>
      <w:r w:rsidRPr="00800D0F">
        <w:rPr>
          <w:rFonts w:cs="Arial Narrow"/>
          <w:color w:val="000000"/>
        </w:rPr>
        <w:noBreakHyphen/>
        <w:t>8.</w:t>
      </w:r>
    </w:p>
    <w:p w14:paraId="374C7322" w14:textId="77777777" w:rsidR="00AC2D78" w:rsidRPr="00800D0F" w:rsidRDefault="00AC2D78" w:rsidP="00AC2D78">
      <w:pPr>
        <w:rPr>
          <w:rFonts w:cs="Arial Narrow"/>
          <w:color w:val="000000"/>
        </w:rPr>
      </w:pPr>
      <w:r w:rsidRPr="00800D0F">
        <w:rPr>
          <w:rFonts w:cs="Arial Narrow"/>
          <w:color w:val="000000"/>
        </w:rPr>
        <w:t xml:space="preserve">18. Miller PR, Croce MA, Bee TK, </w:t>
      </w:r>
      <w:proofErr w:type="spellStart"/>
      <w:r w:rsidRPr="00800D0F">
        <w:rPr>
          <w:rFonts w:cs="Arial Narrow"/>
          <w:color w:val="000000"/>
        </w:rPr>
        <w:t>Malhotra</w:t>
      </w:r>
      <w:proofErr w:type="spellEnd"/>
      <w:r w:rsidRPr="00800D0F">
        <w:rPr>
          <w:rFonts w:cs="Arial Narrow"/>
          <w:color w:val="000000"/>
        </w:rPr>
        <w:t xml:space="preserve"> AK, Fabian TC. Associated injuries in blunt solid organ trauma: Implications for missed injury in </w:t>
      </w:r>
      <w:proofErr w:type="spellStart"/>
      <w:r w:rsidRPr="00800D0F">
        <w:rPr>
          <w:rFonts w:cs="Arial Narrow"/>
          <w:color w:val="000000"/>
        </w:rPr>
        <w:t>nonoperative</w:t>
      </w:r>
      <w:proofErr w:type="spellEnd"/>
      <w:r w:rsidRPr="00800D0F">
        <w:rPr>
          <w:rFonts w:cs="Arial Narrow"/>
          <w:color w:val="000000"/>
        </w:rPr>
        <w:t xml:space="preserve"> management. J Trauma 2002</w:t>
      </w:r>
      <w:proofErr w:type="gramStart"/>
      <w:r w:rsidRPr="00800D0F">
        <w:rPr>
          <w:rFonts w:cs="Arial Narrow"/>
          <w:color w:val="000000"/>
        </w:rPr>
        <w:t>;53:238</w:t>
      </w:r>
      <w:proofErr w:type="gramEnd"/>
      <w:r w:rsidRPr="00800D0F">
        <w:rPr>
          <w:rFonts w:cs="Arial Narrow"/>
          <w:color w:val="000000"/>
        </w:rPr>
        <w:noBreakHyphen/>
        <w:t>42.</w:t>
      </w:r>
    </w:p>
    <w:p w14:paraId="0AE9B91F" w14:textId="77777777" w:rsidR="00AC2D78" w:rsidRPr="00800D0F" w:rsidRDefault="00AC2D78" w:rsidP="00AC2D78">
      <w:pPr>
        <w:rPr>
          <w:rFonts w:cs="Arial Narrow"/>
          <w:color w:val="000000"/>
        </w:rPr>
      </w:pPr>
      <w:r w:rsidRPr="00800D0F">
        <w:rPr>
          <w:rFonts w:cs="Arial Narrow"/>
          <w:color w:val="000000"/>
        </w:rPr>
        <w:t xml:space="preserve">19. </w:t>
      </w:r>
      <w:proofErr w:type="spellStart"/>
      <w:r w:rsidRPr="00800D0F">
        <w:rPr>
          <w:rFonts w:cs="Arial Narrow"/>
          <w:color w:val="000000"/>
        </w:rPr>
        <w:t>Tinkoff</w:t>
      </w:r>
      <w:proofErr w:type="spellEnd"/>
      <w:r w:rsidRPr="00800D0F">
        <w:rPr>
          <w:rFonts w:cs="Arial Narrow"/>
          <w:color w:val="000000"/>
        </w:rPr>
        <w:t xml:space="preserve"> G, Esposito TJ, Reed J, </w:t>
      </w:r>
      <w:proofErr w:type="spellStart"/>
      <w:r w:rsidRPr="00800D0F">
        <w:rPr>
          <w:rFonts w:cs="Arial Narrow"/>
          <w:color w:val="000000"/>
        </w:rPr>
        <w:t>Kilgo</w:t>
      </w:r>
      <w:proofErr w:type="spellEnd"/>
      <w:r w:rsidRPr="00800D0F">
        <w:rPr>
          <w:rFonts w:cs="Arial Narrow"/>
          <w:color w:val="000000"/>
        </w:rPr>
        <w:t xml:space="preserve"> P, </w:t>
      </w:r>
      <w:proofErr w:type="spellStart"/>
      <w:r w:rsidRPr="00800D0F">
        <w:rPr>
          <w:rFonts w:cs="Arial Narrow"/>
          <w:color w:val="000000"/>
        </w:rPr>
        <w:t>Fildes</w:t>
      </w:r>
      <w:proofErr w:type="spellEnd"/>
      <w:r w:rsidRPr="00800D0F">
        <w:rPr>
          <w:rFonts w:cs="Arial Narrow"/>
          <w:color w:val="000000"/>
        </w:rPr>
        <w:t xml:space="preserve"> J, Pasquale M, </w:t>
      </w:r>
      <w:r w:rsidRPr="00800D0F">
        <w:rPr>
          <w:rFonts w:cs="Arial Narrow"/>
          <w:i/>
          <w:iCs/>
          <w:color w:val="000000"/>
        </w:rPr>
        <w:t xml:space="preserve">et al. </w:t>
      </w:r>
      <w:r w:rsidRPr="00800D0F">
        <w:rPr>
          <w:rFonts w:cs="Arial Narrow"/>
          <w:color w:val="000000"/>
        </w:rPr>
        <w:t xml:space="preserve">American Association for the Surgery of Trauma Organ Injury Scale I: Spleen, liver, and kidney, validation based on the National Trauma Data Bank. J Am </w:t>
      </w:r>
      <w:proofErr w:type="spellStart"/>
      <w:r w:rsidRPr="00800D0F">
        <w:rPr>
          <w:rFonts w:cs="Arial Narrow"/>
          <w:color w:val="000000"/>
        </w:rPr>
        <w:t>Coll</w:t>
      </w:r>
      <w:proofErr w:type="spellEnd"/>
      <w:r w:rsidRPr="00800D0F">
        <w:rPr>
          <w:rFonts w:cs="Arial Narrow"/>
          <w:color w:val="000000"/>
        </w:rPr>
        <w:t xml:space="preserve"> </w:t>
      </w:r>
      <w:proofErr w:type="spellStart"/>
      <w:r w:rsidRPr="00800D0F">
        <w:rPr>
          <w:rFonts w:cs="Arial Narrow"/>
          <w:color w:val="000000"/>
        </w:rPr>
        <w:t>Surg</w:t>
      </w:r>
      <w:proofErr w:type="spellEnd"/>
      <w:r w:rsidRPr="00800D0F">
        <w:rPr>
          <w:rFonts w:cs="Arial Narrow"/>
          <w:color w:val="000000"/>
        </w:rPr>
        <w:t xml:space="preserve"> 2008</w:t>
      </w:r>
      <w:proofErr w:type="gramStart"/>
      <w:r w:rsidRPr="00800D0F">
        <w:rPr>
          <w:rFonts w:cs="Arial Narrow"/>
          <w:color w:val="000000"/>
        </w:rPr>
        <w:t>;207:646</w:t>
      </w:r>
      <w:proofErr w:type="gramEnd"/>
      <w:r w:rsidRPr="00800D0F">
        <w:rPr>
          <w:rFonts w:cs="Arial Narrow"/>
          <w:color w:val="000000"/>
        </w:rPr>
        <w:noBreakHyphen/>
        <w:t>55.</w:t>
      </w:r>
    </w:p>
    <w:p w14:paraId="436F7E9A" w14:textId="77777777" w:rsidR="00AC2D78" w:rsidRPr="00800D0F" w:rsidRDefault="00AC2D78" w:rsidP="00AC2D78">
      <w:pPr>
        <w:rPr>
          <w:rFonts w:cs="Arial Narrow"/>
          <w:color w:val="000000"/>
        </w:rPr>
      </w:pPr>
      <w:r w:rsidRPr="00800D0F">
        <w:rPr>
          <w:rFonts w:cs="Arial Narrow"/>
          <w:color w:val="000000"/>
        </w:rPr>
        <w:t xml:space="preserve">20. </w:t>
      </w:r>
      <w:proofErr w:type="spellStart"/>
      <w:r w:rsidRPr="00800D0F">
        <w:rPr>
          <w:rFonts w:cs="Arial Narrow"/>
          <w:color w:val="000000"/>
        </w:rPr>
        <w:t>Bala</w:t>
      </w:r>
      <w:proofErr w:type="spellEnd"/>
      <w:r w:rsidRPr="00800D0F">
        <w:rPr>
          <w:rFonts w:cs="Arial Narrow"/>
          <w:color w:val="000000"/>
        </w:rPr>
        <w:t xml:space="preserve"> M, </w:t>
      </w:r>
      <w:proofErr w:type="spellStart"/>
      <w:r w:rsidRPr="00800D0F">
        <w:rPr>
          <w:rFonts w:cs="Arial Narrow"/>
          <w:color w:val="000000"/>
        </w:rPr>
        <w:t>Gazalla</w:t>
      </w:r>
      <w:proofErr w:type="spellEnd"/>
      <w:r w:rsidRPr="00800D0F">
        <w:rPr>
          <w:rFonts w:cs="Arial Narrow"/>
          <w:color w:val="000000"/>
        </w:rPr>
        <w:t xml:space="preserve"> SA, </w:t>
      </w:r>
      <w:proofErr w:type="spellStart"/>
      <w:r w:rsidRPr="00800D0F">
        <w:rPr>
          <w:rFonts w:cs="Arial Narrow"/>
          <w:color w:val="000000"/>
        </w:rPr>
        <w:t>Faroja</w:t>
      </w:r>
      <w:proofErr w:type="spellEnd"/>
      <w:r w:rsidRPr="00800D0F">
        <w:rPr>
          <w:rFonts w:cs="Arial Narrow"/>
          <w:color w:val="000000"/>
        </w:rPr>
        <w:t xml:space="preserve"> M, Bloom AI, </w:t>
      </w:r>
      <w:proofErr w:type="spellStart"/>
      <w:r w:rsidRPr="00800D0F">
        <w:rPr>
          <w:rFonts w:cs="Arial Narrow"/>
          <w:color w:val="000000"/>
        </w:rPr>
        <w:t>Zamir</w:t>
      </w:r>
      <w:proofErr w:type="spellEnd"/>
      <w:r w:rsidRPr="00800D0F">
        <w:rPr>
          <w:rFonts w:cs="Arial Narrow"/>
          <w:color w:val="000000"/>
        </w:rPr>
        <w:t xml:space="preserve"> G, </w:t>
      </w:r>
      <w:proofErr w:type="spellStart"/>
      <w:r w:rsidRPr="00800D0F">
        <w:rPr>
          <w:rFonts w:cs="Arial Narrow"/>
          <w:color w:val="000000"/>
        </w:rPr>
        <w:t>Rivkind</w:t>
      </w:r>
      <w:proofErr w:type="spellEnd"/>
      <w:r w:rsidRPr="00800D0F">
        <w:rPr>
          <w:rFonts w:cs="Arial Narrow"/>
          <w:color w:val="000000"/>
        </w:rPr>
        <w:t xml:space="preserve"> AI, </w:t>
      </w:r>
      <w:r w:rsidRPr="00800D0F">
        <w:rPr>
          <w:rFonts w:cs="Arial Narrow"/>
          <w:i/>
          <w:iCs/>
          <w:color w:val="000000"/>
        </w:rPr>
        <w:t xml:space="preserve">et al. </w:t>
      </w:r>
      <w:r w:rsidRPr="00800D0F">
        <w:rPr>
          <w:rFonts w:cs="Arial Narrow"/>
          <w:color w:val="000000"/>
        </w:rPr>
        <w:t xml:space="preserve">Complications of high grade liver injuries: Management and </w:t>
      </w:r>
      <w:proofErr w:type="spellStart"/>
      <w:r w:rsidRPr="00800D0F">
        <w:rPr>
          <w:rFonts w:cs="Arial Narrow"/>
          <w:color w:val="000000"/>
        </w:rPr>
        <w:t>outcomewith</w:t>
      </w:r>
      <w:proofErr w:type="spellEnd"/>
      <w:r w:rsidRPr="00800D0F">
        <w:rPr>
          <w:rFonts w:cs="Arial Narrow"/>
          <w:color w:val="000000"/>
        </w:rPr>
        <w:t xml:space="preserve"> focus on bile leaks. </w:t>
      </w:r>
      <w:proofErr w:type="spellStart"/>
      <w:r w:rsidRPr="00800D0F">
        <w:rPr>
          <w:rFonts w:cs="Arial Narrow"/>
          <w:color w:val="000000"/>
        </w:rPr>
        <w:t>Scand</w:t>
      </w:r>
      <w:proofErr w:type="spellEnd"/>
      <w:r w:rsidRPr="00800D0F">
        <w:rPr>
          <w:rFonts w:cs="Arial Narrow"/>
          <w:color w:val="000000"/>
        </w:rPr>
        <w:t xml:space="preserve"> J Trauma </w:t>
      </w:r>
      <w:proofErr w:type="spellStart"/>
      <w:r w:rsidRPr="00800D0F">
        <w:rPr>
          <w:rFonts w:cs="Arial Narrow"/>
          <w:color w:val="000000"/>
        </w:rPr>
        <w:t>Resusc</w:t>
      </w:r>
      <w:proofErr w:type="spellEnd"/>
      <w:r w:rsidRPr="00800D0F">
        <w:rPr>
          <w:rFonts w:cs="Arial Narrow"/>
          <w:color w:val="000000"/>
        </w:rPr>
        <w:t xml:space="preserve"> </w:t>
      </w:r>
      <w:proofErr w:type="spellStart"/>
      <w:r w:rsidRPr="00800D0F">
        <w:rPr>
          <w:rFonts w:cs="Arial Narrow"/>
          <w:color w:val="000000"/>
        </w:rPr>
        <w:t>Emerg</w:t>
      </w:r>
      <w:proofErr w:type="spellEnd"/>
      <w:r w:rsidRPr="00800D0F">
        <w:rPr>
          <w:rFonts w:cs="Arial Narrow"/>
          <w:color w:val="000000"/>
        </w:rPr>
        <w:t xml:space="preserve"> Med 2012</w:t>
      </w:r>
      <w:proofErr w:type="gramStart"/>
      <w:r w:rsidRPr="00800D0F">
        <w:rPr>
          <w:rFonts w:cs="Arial Narrow"/>
          <w:color w:val="000000"/>
        </w:rPr>
        <w:t>;20:20</w:t>
      </w:r>
      <w:proofErr w:type="gramEnd"/>
      <w:r w:rsidRPr="00800D0F">
        <w:rPr>
          <w:rFonts w:cs="Arial Narrow"/>
          <w:color w:val="000000"/>
        </w:rPr>
        <w:t>.</w:t>
      </w:r>
    </w:p>
    <w:p w14:paraId="2758B775" w14:textId="77777777" w:rsidR="00AC2D78" w:rsidRPr="00800D0F" w:rsidRDefault="00AC2D78" w:rsidP="00AC2D78">
      <w:pPr>
        <w:pStyle w:val="Pa27"/>
        <w:jc w:val="both"/>
        <w:rPr>
          <w:rFonts w:asciiTheme="minorHAnsi" w:hAnsiTheme="minorHAnsi" w:cs="Arial Narrow"/>
          <w:color w:val="000000"/>
        </w:rPr>
      </w:pPr>
      <w:r w:rsidRPr="00800D0F">
        <w:rPr>
          <w:rFonts w:asciiTheme="minorHAnsi" w:hAnsiTheme="minorHAnsi" w:cs="Arial Narrow"/>
          <w:color w:val="000000"/>
        </w:rPr>
        <w:t xml:space="preserve">21. Mohr AM, </w:t>
      </w:r>
      <w:proofErr w:type="spellStart"/>
      <w:r w:rsidRPr="00800D0F">
        <w:rPr>
          <w:rFonts w:asciiTheme="minorHAnsi" w:hAnsiTheme="minorHAnsi" w:cs="Arial Narrow"/>
          <w:color w:val="000000"/>
        </w:rPr>
        <w:t>Lavery</w:t>
      </w:r>
      <w:proofErr w:type="spellEnd"/>
      <w:r w:rsidRPr="00800D0F">
        <w:rPr>
          <w:rFonts w:asciiTheme="minorHAnsi" w:hAnsiTheme="minorHAnsi" w:cs="Arial Narrow"/>
          <w:color w:val="000000"/>
        </w:rPr>
        <w:t xml:space="preserve"> RF, </w:t>
      </w:r>
      <w:proofErr w:type="spellStart"/>
      <w:r w:rsidRPr="00800D0F">
        <w:rPr>
          <w:rFonts w:asciiTheme="minorHAnsi" w:hAnsiTheme="minorHAnsi" w:cs="Arial Narrow"/>
          <w:color w:val="000000"/>
        </w:rPr>
        <w:t>Barone</w:t>
      </w:r>
      <w:proofErr w:type="spellEnd"/>
      <w:r w:rsidRPr="00800D0F">
        <w:rPr>
          <w:rFonts w:asciiTheme="minorHAnsi" w:hAnsiTheme="minorHAnsi" w:cs="Arial Narrow"/>
          <w:color w:val="000000"/>
        </w:rPr>
        <w:t xml:space="preserve"> A, </w:t>
      </w:r>
      <w:proofErr w:type="spellStart"/>
      <w:r w:rsidRPr="00800D0F">
        <w:rPr>
          <w:rFonts w:asciiTheme="minorHAnsi" w:hAnsiTheme="minorHAnsi" w:cs="Arial Narrow"/>
          <w:color w:val="000000"/>
        </w:rPr>
        <w:t>Bahramipour</w:t>
      </w:r>
      <w:proofErr w:type="spellEnd"/>
      <w:r w:rsidRPr="00800D0F">
        <w:rPr>
          <w:rFonts w:asciiTheme="minorHAnsi" w:hAnsiTheme="minorHAnsi" w:cs="Arial Narrow"/>
          <w:color w:val="000000"/>
        </w:rPr>
        <w:t xml:space="preserve"> P, </w:t>
      </w:r>
      <w:proofErr w:type="spellStart"/>
      <w:r w:rsidRPr="00800D0F">
        <w:rPr>
          <w:rFonts w:asciiTheme="minorHAnsi" w:hAnsiTheme="minorHAnsi" w:cs="Arial Narrow"/>
          <w:color w:val="000000"/>
        </w:rPr>
        <w:t>Magnotti</w:t>
      </w:r>
      <w:proofErr w:type="spellEnd"/>
      <w:r w:rsidRPr="00800D0F">
        <w:rPr>
          <w:rFonts w:asciiTheme="minorHAnsi" w:hAnsiTheme="minorHAnsi" w:cs="Arial Narrow"/>
          <w:color w:val="000000"/>
        </w:rPr>
        <w:t xml:space="preserve"> LJ, </w:t>
      </w:r>
      <w:proofErr w:type="spellStart"/>
      <w:r w:rsidRPr="00800D0F">
        <w:rPr>
          <w:rFonts w:asciiTheme="minorHAnsi" w:hAnsiTheme="minorHAnsi" w:cs="Arial Narrow"/>
          <w:color w:val="000000"/>
        </w:rPr>
        <w:t>Osband</w:t>
      </w:r>
      <w:proofErr w:type="spellEnd"/>
      <w:r w:rsidRPr="00800D0F">
        <w:rPr>
          <w:rFonts w:asciiTheme="minorHAnsi" w:hAnsiTheme="minorHAnsi" w:cs="Arial Narrow"/>
          <w:color w:val="000000"/>
        </w:rPr>
        <w:t xml:space="preserve"> AJ, </w:t>
      </w:r>
      <w:r w:rsidRPr="00800D0F">
        <w:rPr>
          <w:rFonts w:asciiTheme="minorHAnsi" w:hAnsiTheme="minorHAnsi" w:cs="Arial Narrow"/>
          <w:i/>
          <w:iCs/>
          <w:color w:val="000000"/>
        </w:rPr>
        <w:t xml:space="preserve">et al. </w:t>
      </w:r>
      <w:r w:rsidRPr="00800D0F">
        <w:rPr>
          <w:rFonts w:asciiTheme="minorHAnsi" w:hAnsiTheme="minorHAnsi" w:cs="Arial Narrow"/>
          <w:color w:val="000000"/>
        </w:rPr>
        <w:t>Angiographic embolization for liver injuries: Low mortality, high morbidity. J Trauma 2003</w:t>
      </w:r>
      <w:proofErr w:type="gramStart"/>
      <w:r w:rsidRPr="00800D0F">
        <w:rPr>
          <w:rFonts w:asciiTheme="minorHAnsi" w:hAnsiTheme="minorHAnsi" w:cs="Arial Narrow"/>
          <w:color w:val="000000"/>
        </w:rPr>
        <w:t>;55:1077</w:t>
      </w:r>
      <w:proofErr w:type="gramEnd"/>
      <w:r w:rsidRPr="00800D0F">
        <w:rPr>
          <w:rFonts w:asciiTheme="minorHAnsi" w:hAnsiTheme="minorHAnsi" w:cs="Arial Narrow"/>
          <w:color w:val="000000"/>
        </w:rPr>
        <w:noBreakHyphen/>
        <w:t xml:space="preserve">81. </w:t>
      </w:r>
    </w:p>
    <w:p w14:paraId="1182D15C" w14:textId="77777777" w:rsidR="00AC2D78" w:rsidRPr="00800D0F" w:rsidRDefault="00AC2D78" w:rsidP="00AC2D78">
      <w:pPr>
        <w:rPr>
          <w:rFonts w:cs="Arial Narrow"/>
          <w:color w:val="000000"/>
        </w:rPr>
      </w:pPr>
      <w:r w:rsidRPr="00800D0F">
        <w:rPr>
          <w:rFonts w:cs="Arial Narrow"/>
          <w:color w:val="000000"/>
        </w:rPr>
        <w:t xml:space="preserve">22. </w:t>
      </w:r>
      <w:proofErr w:type="spellStart"/>
      <w:r w:rsidRPr="00800D0F">
        <w:rPr>
          <w:rFonts w:cs="Arial Narrow"/>
          <w:color w:val="000000"/>
        </w:rPr>
        <w:t>Bertens</w:t>
      </w:r>
      <w:proofErr w:type="spellEnd"/>
      <w:r w:rsidRPr="00800D0F">
        <w:rPr>
          <w:rFonts w:cs="Arial Narrow"/>
          <w:color w:val="000000"/>
        </w:rPr>
        <w:t xml:space="preserve"> KA, Vogt KN, Hernandez</w:t>
      </w:r>
      <w:r w:rsidRPr="00800D0F">
        <w:rPr>
          <w:rFonts w:cs="Arial Narrow"/>
          <w:color w:val="000000"/>
        </w:rPr>
        <w:noBreakHyphen/>
        <w:t>Alejandro R, Gray DK. Non</w:t>
      </w:r>
      <w:r w:rsidRPr="00800D0F">
        <w:rPr>
          <w:rFonts w:cs="Arial Narrow"/>
          <w:color w:val="000000"/>
        </w:rPr>
        <w:noBreakHyphen/>
        <w:t xml:space="preserve">operative management of blunt hepatic trauma: Does </w:t>
      </w:r>
      <w:proofErr w:type="spellStart"/>
      <w:r w:rsidRPr="00800D0F">
        <w:rPr>
          <w:rFonts w:cs="Arial Narrow"/>
          <w:color w:val="000000"/>
        </w:rPr>
        <w:t>angioembolization</w:t>
      </w:r>
      <w:proofErr w:type="spellEnd"/>
      <w:r w:rsidRPr="00800D0F">
        <w:rPr>
          <w:rFonts w:cs="Arial Narrow"/>
          <w:color w:val="000000"/>
        </w:rPr>
        <w:t xml:space="preserve"> have a major impact? </w:t>
      </w:r>
      <w:proofErr w:type="spellStart"/>
      <w:r w:rsidRPr="00800D0F">
        <w:rPr>
          <w:rFonts w:cs="Arial Narrow"/>
          <w:color w:val="000000"/>
        </w:rPr>
        <w:t>Eur</w:t>
      </w:r>
      <w:proofErr w:type="spellEnd"/>
      <w:r w:rsidRPr="00800D0F">
        <w:rPr>
          <w:rFonts w:cs="Arial Narrow"/>
          <w:color w:val="000000"/>
        </w:rPr>
        <w:t xml:space="preserve"> J Trauma </w:t>
      </w:r>
      <w:proofErr w:type="spellStart"/>
      <w:r w:rsidRPr="00800D0F">
        <w:rPr>
          <w:rFonts w:cs="Arial Narrow"/>
          <w:color w:val="000000"/>
        </w:rPr>
        <w:t>Emerg</w:t>
      </w:r>
      <w:proofErr w:type="spellEnd"/>
      <w:r w:rsidRPr="00800D0F">
        <w:rPr>
          <w:rFonts w:cs="Arial Narrow"/>
          <w:color w:val="000000"/>
        </w:rPr>
        <w:t xml:space="preserve"> </w:t>
      </w:r>
      <w:proofErr w:type="spellStart"/>
      <w:r w:rsidRPr="00800D0F">
        <w:rPr>
          <w:rFonts w:cs="Arial Narrow"/>
          <w:color w:val="000000"/>
        </w:rPr>
        <w:t>Surg</w:t>
      </w:r>
      <w:proofErr w:type="spellEnd"/>
      <w:r w:rsidRPr="00800D0F">
        <w:rPr>
          <w:rFonts w:cs="Arial Narrow"/>
          <w:color w:val="000000"/>
        </w:rPr>
        <w:t xml:space="preserve"> 2015</w:t>
      </w:r>
      <w:proofErr w:type="gramStart"/>
      <w:r w:rsidRPr="00800D0F">
        <w:rPr>
          <w:rFonts w:cs="Arial Narrow"/>
          <w:color w:val="000000"/>
        </w:rPr>
        <w:t>;41:81</w:t>
      </w:r>
      <w:proofErr w:type="gramEnd"/>
      <w:r w:rsidRPr="00800D0F">
        <w:rPr>
          <w:rFonts w:cs="Arial Narrow"/>
          <w:color w:val="000000"/>
        </w:rPr>
        <w:noBreakHyphen/>
        <w:t>6.</w:t>
      </w:r>
    </w:p>
    <w:p w14:paraId="62A65F55" w14:textId="77777777" w:rsidR="00AC2D78" w:rsidRPr="00800D0F" w:rsidRDefault="00AC2D78" w:rsidP="00AC2D78">
      <w:pPr>
        <w:rPr>
          <w:rFonts w:cs="Helvetica"/>
          <w:color w:val="2E2E2E"/>
        </w:rPr>
      </w:pPr>
    </w:p>
    <w:p w14:paraId="6A7E2DE0" w14:textId="77777777" w:rsidR="00857D60" w:rsidRPr="00800D0F" w:rsidRDefault="00857D60" w:rsidP="005D185E">
      <w:pPr>
        <w:ind w:firstLine="720"/>
        <w:rPr>
          <w:rFonts w:cs="Helvetica"/>
          <w:color w:val="2E2E2E"/>
        </w:rPr>
      </w:pPr>
    </w:p>
    <w:p w14:paraId="42E515F0" w14:textId="5A5C5F78" w:rsidR="00332EB0" w:rsidRPr="00800D0F" w:rsidRDefault="00FB28C8" w:rsidP="00BB53E6">
      <w:pPr>
        <w:ind w:firstLine="720"/>
      </w:pPr>
      <w:r w:rsidRPr="00800D0F">
        <w:rPr>
          <w:rFonts w:cs="Helvetica"/>
          <w:color w:val="2E2E2E"/>
        </w:rPr>
        <w:t xml:space="preserve">This will be a multicenter study </w:t>
      </w:r>
      <w:r w:rsidR="00AC2D78" w:rsidRPr="00800D0F">
        <w:rPr>
          <w:rFonts w:cs="Helvetica"/>
          <w:color w:val="2E2E2E"/>
        </w:rPr>
        <w:t xml:space="preserve">with participation open to all trauma centers.  </w:t>
      </w:r>
      <w:r w:rsidR="00AC2D78" w:rsidRPr="00800D0F">
        <w:t>Data will be entered into AAST approved data repository at each res</w:t>
      </w:r>
      <w:r w:rsidR="003D7DC2">
        <w:t xml:space="preserve">pective center. Enrollment is ongoing until we reach enrollment of 1400 patients. Goal for submission is March 1, 2020. </w:t>
      </w:r>
      <w:bookmarkStart w:id="0" w:name="_GoBack"/>
      <w:bookmarkEnd w:id="0"/>
      <w:r w:rsidR="00AC2D78" w:rsidRPr="00800D0F">
        <w:t xml:space="preserve">General information to be submitted per institution: Resolution of CT scanner and trauma multiphasic CT A/P protocol of respective institution and outside hospital if CT scans used from patients transferred in from outside hospital.  </w:t>
      </w:r>
      <w:r w:rsidR="00332EB0" w:rsidRPr="00800D0F">
        <w:t>A data dictionary will be provided.</w:t>
      </w:r>
    </w:p>
    <w:p w14:paraId="698760A4" w14:textId="77777777" w:rsidR="005B285C" w:rsidRPr="00800D0F" w:rsidRDefault="005B285C" w:rsidP="005B285C"/>
    <w:p w14:paraId="09936639" w14:textId="77777777" w:rsidR="005B285C" w:rsidRPr="00800D0F" w:rsidRDefault="005B285C"/>
    <w:p w14:paraId="76C548BC" w14:textId="77777777" w:rsidR="00C94155" w:rsidRPr="00800D0F" w:rsidRDefault="00B235BA">
      <w:r w:rsidRPr="00800D0F">
        <w:t xml:space="preserve">Entrance </w:t>
      </w:r>
      <w:r w:rsidR="003210C8" w:rsidRPr="00800D0F">
        <w:t>criterion</w:t>
      </w:r>
      <w:r w:rsidR="00C94155" w:rsidRPr="00800D0F">
        <w:t xml:space="preserve">: </w:t>
      </w:r>
    </w:p>
    <w:p w14:paraId="09843EB3" w14:textId="073E488E" w:rsidR="00C94155" w:rsidRPr="00800D0F" w:rsidRDefault="006202DB" w:rsidP="00B235BA">
      <w:pPr>
        <w:ind w:left="720"/>
      </w:pPr>
      <w:r w:rsidRPr="00800D0F">
        <w:t xml:space="preserve">All adult </w:t>
      </w:r>
      <w:r w:rsidR="00E161BE" w:rsidRPr="00800D0F">
        <w:t>(&gt; 1</w:t>
      </w:r>
      <w:r w:rsidR="00AC2D78" w:rsidRPr="00800D0F">
        <w:t>8</w:t>
      </w:r>
      <w:r w:rsidR="00E161BE" w:rsidRPr="00800D0F">
        <w:t xml:space="preserve"> years) </w:t>
      </w:r>
      <w:r w:rsidR="0051614F" w:rsidRPr="00800D0F">
        <w:t>patients</w:t>
      </w:r>
      <w:r w:rsidRPr="00800D0F">
        <w:t xml:space="preserve"> who sustai</w:t>
      </w:r>
      <w:r w:rsidR="005D0E6A" w:rsidRPr="00800D0F">
        <w:t xml:space="preserve">ned </w:t>
      </w:r>
      <w:r w:rsidR="00AC2D78" w:rsidRPr="00800D0F">
        <w:t>G</w:t>
      </w:r>
      <w:r w:rsidRPr="00800D0F">
        <w:t>rade</w:t>
      </w:r>
      <w:r w:rsidR="005D0E6A" w:rsidRPr="00800D0F">
        <w:t xml:space="preserve"> </w:t>
      </w:r>
      <w:r w:rsidR="00AC2D78" w:rsidRPr="00800D0F">
        <w:t xml:space="preserve">3 - </w:t>
      </w:r>
      <w:r w:rsidR="005D0E6A" w:rsidRPr="00800D0F">
        <w:t>5 hepatic injuries</w:t>
      </w:r>
      <w:r w:rsidRPr="00800D0F">
        <w:t xml:space="preserve"> </w:t>
      </w:r>
      <w:r w:rsidR="00E31499" w:rsidRPr="00800D0F">
        <w:t>per</w:t>
      </w:r>
      <w:r w:rsidRPr="00800D0F">
        <w:t xml:space="preserve"> the American Association for the Surgery of Trauma</w:t>
      </w:r>
      <w:r w:rsidR="00E161BE" w:rsidRPr="00800D0F">
        <w:t xml:space="preserve"> (AAST)</w:t>
      </w:r>
      <w:r w:rsidRPr="00800D0F">
        <w:t xml:space="preserve"> </w:t>
      </w:r>
      <w:r w:rsidR="002D3ECA" w:rsidRPr="00800D0F">
        <w:t>O</w:t>
      </w:r>
      <w:r w:rsidRPr="00800D0F">
        <w:t xml:space="preserve">rgan </w:t>
      </w:r>
      <w:r w:rsidR="002D3ECA" w:rsidRPr="00800D0F">
        <w:t>I</w:t>
      </w:r>
      <w:r w:rsidRPr="00800D0F">
        <w:t xml:space="preserve">njury </w:t>
      </w:r>
      <w:r w:rsidR="002D3ECA" w:rsidRPr="00800D0F">
        <w:t>Sc</w:t>
      </w:r>
      <w:r w:rsidRPr="00800D0F">
        <w:t xml:space="preserve">ale </w:t>
      </w:r>
      <w:r w:rsidR="00AC2D78" w:rsidRPr="00800D0F">
        <w:t>and underwent Non-Operative Intervention (Angiography/ERCP/ Percutaneous Drainage) or Operative intervention or no intervention with or without CT Scan of the Abdomen/Pelvis within 24 hours of admission.</w:t>
      </w:r>
    </w:p>
    <w:p w14:paraId="316609CF" w14:textId="77777777" w:rsidR="00824AC1" w:rsidRPr="00800D0F" w:rsidRDefault="00824AC1">
      <w:r w:rsidRPr="00800D0F">
        <w:tab/>
      </w:r>
    </w:p>
    <w:p w14:paraId="32930731" w14:textId="77777777" w:rsidR="00824AC1" w:rsidRPr="00800D0F" w:rsidRDefault="00824AC1">
      <w:r w:rsidRPr="00800D0F">
        <w:lastRenderedPageBreak/>
        <w:t>Exclusion criteria:</w:t>
      </w:r>
    </w:p>
    <w:p w14:paraId="4D87B718" w14:textId="77777777" w:rsidR="005D0E6A" w:rsidRPr="00800D0F" w:rsidRDefault="00824AC1" w:rsidP="006202DB">
      <w:r w:rsidRPr="00800D0F">
        <w:tab/>
      </w:r>
      <w:r w:rsidR="00673201" w:rsidRPr="00800D0F">
        <w:t>Patients</w:t>
      </w:r>
      <w:r w:rsidR="005D0E6A" w:rsidRPr="00800D0F">
        <w:t xml:space="preserve"> who are:</w:t>
      </w:r>
      <w:r w:rsidR="00673201" w:rsidRPr="00800D0F">
        <w:t xml:space="preserve"> </w:t>
      </w:r>
    </w:p>
    <w:p w14:paraId="6A87FAD1" w14:textId="77777777" w:rsidR="00B235BA" w:rsidRPr="00800D0F" w:rsidRDefault="00673201" w:rsidP="005D0E6A">
      <w:pPr>
        <w:ind w:left="720" w:firstLine="720"/>
      </w:pPr>
      <w:r w:rsidRPr="00800D0F">
        <w:t>&lt; 18 years</w:t>
      </w:r>
    </w:p>
    <w:p w14:paraId="7DAE21BA" w14:textId="77777777" w:rsidR="00673201" w:rsidRPr="00800D0F" w:rsidRDefault="00673201" w:rsidP="006202DB">
      <w:r w:rsidRPr="00800D0F">
        <w:tab/>
      </w:r>
      <w:r w:rsidR="005D0E6A" w:rsidRPr="00800D0F">
        <w:tab/>
        <w:t xml:space="preserve">Pregnant </w:t>
      </w:r>
    </w:p>
    <w:p w14:paraId="1C50DBCD" w14:textId="77777777" w:rsidR="00C94155" w:rsidRPr="00800D0F" w:rsidRDefault="005D0E6A">
      <w:r w:rsidRPr="00800D0F">
        <w:tab/>
      </w:r>
      <w:r w:rsidRPr="00800D0F">
        <w:tab/>
        <w:t>Cirrhotic</w:t>
      </w:r>
    </w:p>
    <w:p w14:paraId="650D0B6E" w14:textId="77777777" w:rsidR="005D0E6A" w:rsidRPr="00800D0F" w:rsidRDefault="005D0E6A">
      <w:r w:rsidRPr="00800D0F">
        <w:tab/>
      </w:r>
      <w:r w:rsidRPr="00800D0F">
        <w:tab/>
        <w:t>Diagnosed with hepatocellular carcinoma</w:t>
      </w:r>
    </w:p>
    <w:p w14:paraId="407C717F" w14:textId="77777777" w:rsidR="005D0E6A" w:rsidRPr="00800D0F" w:rsidRDefault="005D0E6A">
      <w:r w:rsidRPr="00800D0F">
        <w:tab/>
      </w:r>
      <w:r w:rsidRPr="00800D0F">
        <w:tab/>
        <w:t>Not a candidate for ERCP</w:t>
      </w:r>
    </w:p>
    <w:p w14:paraId="011AFC9E" w14:textId="77777777" w:rsidR="005D0E6A" w:rsidRPr="00800D0F" w:rsidRDefault="005D0E6A">
      <w:r w:rsidRPr="00800D0F">
        <w:tab/>
      </w:r>
    </w:p>
    <w:p w14:paraId="0359E6F5" w14:textId="77777777" w:rsidR="005D0E6A" w:rsidRPr="00800D0F" w:rsidRDefault="005D0E6A">
      <w:r w:rsidRPr="00800D0F">
        <w:tab/>
      </w:r>
    </w:p>
    <w:p w14:paraId="2AFE0944" w14:textId="3B76DF2C" w:rsidR="00C94155" w:rsidRPr="00800D0F" w:rsidRDefault="00C94155">
      <w:r w:rsidRPr="00800D0F">
        <w:t>Data to be collected:</w:t>
      </w:r>
      <w:r w:rsidR="003D7DC2">
        <w:t xml:space="preserve"> Please see data dictionary</w:t>
      </w:r>
    </w:p>
    <w:p w14:paraId="3530C70F" w14:textId="1DF0D70D" w:rsidR="00B235BA" w:rsidRPr="00800D0F" w:rsidRDefault="00824AC1" w:rsidP="003D7DC2">
      <w:pPr>
        <w:rPr>
          <w:rFonts w:eastAsia="MS Gothic" w:cs="Times New Roman"/>
          <w:color w:val="000000"/>
        </w:rPr>
      </w:pPr>
      <w:r w:rsidRPr="00800D0F">
        <w:tab/>
      </w:r>
    </w:p>
    <w:p w14:paraId="6BCF0492" w14:textId="77777777" w:rsidR="005D0E6A" w:rsidRPr="00800D0F" w:rsidRDefault="005D0E6A">
      <w:pPr>
        <w:rPr>
          <w:rFonts w:eastAsia="MS Gothic" w:cs="Times New Roman"/>
          <w:color w:val="000000"/>
        </w:rPr>
      </w:pPr>
    </w:p>
    <w:p w14:paraId="7FEF47C0" w14:textId="77777777" w:rsidR="0031007D" w:rsidRPr="00800D0F" w:rsidRDefault="0031007D" w:rsidP="0031007D">
      <w:r w:rsidRPr="00800D0F">
        <w:t>Statistical analyses:</w:t>
      </w:r>
    </w:p>
    <w:p w14:paraId="19A0948D" w14:textId="77777777" w:rsidR="0031007D" w:rsidRPr="00800D0F" w:rsidRDefault="0031007D" w:rsidP="0031007D">
      <w:pPr>
        <w:rPr>
          <w:rFonts w:eastAsia="MS Gothic" w:cs="Times New Roman"/>
          <w:color w:val="000000"/>
        </w:rPr>
      </w:pPr>
      <w:r w:rsidRPr="00800D0F">
        <w:tab/>
      </w:r>
      <w:r w:rsidRPr="00800D0F">
        <w:rPr>
          <w:rFonts w:cs="Calibri"/>
        </w:rPr>
        <w:t>Bivariate analysis will be performed to determine if there are differences between those with the exposure of interest and those without.  Factors found to be associated with the outcomes of interest on bivariate analysis will be included in multivariable models.  The multivariable models will be used to determine if the exposure of interest is associated with the primary and secondary outcomes</w:t>
      </w:r>
    </w:p>
    <w:p w14:paraId="406FAC2E" w14:textId="77777777" w:rsidR="0031007D" w:rsidRPr="00800D0F" w:rsidRDefault="0031007D">
      <w:pPr>
        <w:rPr>
          <w:rFonts w:eastAsia="MS Gothic" w:cs="Times New Roman"/>
          <w:color w:val="000000"/>
        </w:rPr>
      </w:pPr>
    </w:p>
    <w:p w14:paraId="172D3B14" w14:textId="77777777" w:rsidR="00993295" w:rsidRPr="00800D0F" w:rsidRDefault="00993295"/>
    <w:sectPr w:rsidR="00993295" w:rsidRPr="00800D0F" w:rsidSect="00C258EA">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0A8C5" w14:textId="77777777" w:rsidR="000437DD" w:rsidRDefault="000437DD" w:rsidP="00AA64A2">
      <w:r>
        <w:separator/>
      </w:r>
    </w:p>
  </w:endnote>
  <w:endnote w:type="continuationSeparator" w:id="0">
    <w:p w14:paraId="15C97C6A" w14:textId="77777777" w:rsidR="000437DD" w:rsidRDefault="000437DD" w:rsidP="00AA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libri"/>
    <w:charset w:val="00"/>
    <w:family w:val="swiss"/>
    <w:pitch w:val="variable"/>
    <w:sig w:usb0="E4002EFF" w:usb1="C000E47F" w:usb2="00000009" w:usb3="00000000" w:csb0="000001FF" w:csb1="00000000"/>
  </w:font>
  <w:font w:name="Galliard BT">
    <w:altName w:val="Galliard BT"/>
    <w:panose1 w:val="00000000000000000000"/>
    <w:charset w:val="00"/>
    <w:family w:val="roman"/>
    <w:notTrueType/>
    <w:pitch w:val="default"/>
    <w:sig w:usb0="00000003" w:usb1="08070000" w:usb2="00000010" w:usb3="00000000" w:csb0="00020001" w:csb1="00000000"/>
  </w:font>
  <w:font w:name="Arial Narrow">
    <w:panose1 w:val="020B0506020202030204"/>
    <w:charset w:val="00"/>
    <w:family w:val="auto"/>
    <w:pitch w:val="variable"/>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ramond-LightItalic">
    <w:panose1 w:val="00000000000000000000"/>
    <w:charset w:val="00"/>
    <w:family w:val="roman"/>
    <w:notTrueType/>
    <w:pitch w:val="default"/>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F6105" w14:textId="77777777" w:rsidR="000437DD" w:rsidRDefault="000437DD" w:rsidP="00B23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69CB44" w14:textId="77777777" w:rsidR="000437DD" w:rsidRDefault="000437DD" w:rsidP="00AA64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3F66" w14:textId="7E4A321E" w:rsidR="000437DD" w:rsidRDefault="000437DD" w:rsidP="00B23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DC2">
      <w:rPr>
        <w:rStyle w:val="PageNumber"/>
        <w:noProof/>
      </w:rPr>
      <w:t>4</w:t>
    </w:r>
    <w:r>
      <w:rPr>
        <w:rStyle w:val="PageNumber"/>
      </w:rPr>
      <w:fldChar w:fldCharType="end"/>
    </w:r>
  </w:p>
  <w:p w14:paraId="441A0E10" w14:textId="1F215525" w:rsidR="000437DD" w:rsidRDefault="000437DD" w:rsidP="00AA64A2">
    <w:pPr>
      <w:pStyle w:val="Footer"/>
      <w:ind w:right="360"/>
    </w:pPr>
    <w:r>
      <w:t xml:space="preserve">Version date:  </w:t>
    </w:r>
    <w:r w:rsidR="006D27E3">
      <w:t>06/21</w:t>
    </w:r>
    <w:r>
      <w:t>/18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81B1" w14:textId="77777777" w:rsidR="000437DD" w:rsidRDefault="000437DD" w:rsidP="00AA64A2">
      <w:r>
        <w:separator/>
      </w:r>
    </w:p>
  </w:footnote>
  <w:footnote w:type="continuationSeparator" w:id="0">
    <w:p w14:paraId="727D7454" w14:textId="77777777" w:rsidR="000437DD" w:rsidRDefault="000437DD" w:rsidP="00AA64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969C7"/>
    <w:multiLevelType w:val="hybridMultilevel"/>
    <w:tmpl w:val="874CD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DA57C9"/>
    <w:multiLevelType w:val="hybridMultilevel"/>
    <w:tmpl w:val="0B8EC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470CE2"/>
    <w:multiLevelType w:val="hybridMultilevel"/>
    <w:tmpl w:val="90D26EA4"/>
    <w:lvl w:ilvl="0" w:tplc="705AAE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96A2AAC"/>
    <w:multiLevelType w:val="hybridMultilevel"/>
    <w:tmpl w:val="F542AA9C"/>
    <w:lvl w:ilvl="0" w:tplc="48986A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9D2720"/>
    <w:multiLevelType w:val="hybridMultilevel"/>
    <w:tmpl w:val="47C00CC0"/>
    <w:lvl w:ilvl="0" w:tplc="074AE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55"/>
    <w:rsid w:val="00030DCA"/>
    <w:rsid w:val="000437DD"/>
    <w:rsid w:val="000B5C05"/>
    <w:rsid w:val="000D2108"/>
    <w:rsid w:val="000D24E4"/>
    <w:rsid w:val="00100BA2"/>
    <w:rsid w:val="00133EAA"/>
    <w:rsid w:val="00147F4D"/>
    <w:rsid w:val="001505E7"/>
    <w:rsid w:val="001573F8"/>
    <w:rsid w:val="001A1C38"/>
    <w:rsid w:val="001B0C10"/>
    <w:rsid w:val="001E0358"/>
    <w:rsid w:val="001E5963"/>
    <w:rsid w:val="001F59CA"/>
    <w:rsid w:val="0028345E"/>
    <w:rsid w:val="002A7BB6"/>
    <w:rsid w:val="002D3ECA"/>
    <w:rsid w:val="002E0357"/>
    <w:rsid w:val="002E324D"/>
    <w:rsid w:val="002F7E8E"/>
    <w:rsid w:val="00300FC5"/>
    <w:rsid w:val="00304F48"/>
    <w:rsid w:val="00305C97"/>
    <w:rsid w:val="0031007D"/>
    <w:rsid w:val="003210C8"/>
    <w:rsid w:val="00332EB0"/>
    <w:rsid w:val="00376E3F"/>
    <w:rsid w:val="003C2F01"/>
    <w:rsid w:val="003D7DC2"/>
    <w:rsid w:val="00412084"/>
    <w:rsid w:val="00452444"/>
    <w:rsid w:val="00466ABC"/>
    <w:rsid w:val="0051614F"/>
    <w:rsid w:val="00566C85"/>
    <w:rsid w:val="00591055"/>
    <w:rsid w:val="005B285C"/>
    <w:rsid w:val="005D0DE9"/>
    <w:rsid w:val="005D0E6A"/>
    <w:rsid w:val="005D185E"/>
    <w:rsid w:val="006202DB"/>
    <w:rsid w:val="00673201"/>
    <w:rsid w:val="00681E44"/>
    <w:rsid w:val="00682634"/>
    <w:rsid w:val="006B4B41"/>
    <w:rsid w:val="006C4837"/>
    <w:rsid w:val="006D27E3"/>
    <w:rsid w:val="006D7A7A"/>
    <w:rsid w:val="006E179E"/>
    <w:rsid w:val="006F47ED"/>
    <w:rsid w:val="00702B4A"/>
    <w:rsid w:val="00712E3B"/>
    <w:rsid w:val="007252D0"/>
    <w:rsid w:val="00743972"/>
    <w:rsid w:val="00766FAD"/>
    <w:rsid w:val="00766FB0"/>
    <w:rsid w:val="007822A6"/>
    <w:rsid w:val="007961DE"/>
    <w:rsid w:val="007A4BBF"/>
    <w:rsid w:val="007B2CEB"/>
    <w:rsid w:val="007B3900"/>
    <w:rsid w:val="007E34AB"/>
    <w:rsid w:val="007F5373"/>
    <w:rsid w:val="00800D0F"/>
    <w:rsid w:val="00824AC1"/>
    <w:rsid w:val="0084140B"/>
    <w:rsid w:val="00857D60"/>
    <w:rsid w:val="00880E52"/>
    <w:rsid w:val="008C4FB0"/>
    <w:rsid w:val="008D255C"/>
    <w:rsid w:val="008E147A"/>
    <w:rsid w:val="008F2BF7"/>
    <w:rsid w:val="008F4E8B"/>
    <w:rsid w:val="00913B3A"/>
    <w:rsid w:val="00952666"/>
    <w:rsid w:val="00993295"/>
    <w:rsid w:val="00AA64A2"/>
    <w:rsid w:val="00AA7C3C"/>
    <w:rsid w:val="00AB3765"/>
    <w:rsid w:val="00AC2D78"/>
    <w:rsid w:val="00B235BA"/>
    <w:rsid w:val="00B73C75"/>
    <w:rsid w:val="00B877AC"/>
    <w:rsid w:val="00BB53E6"/>
    <w:rsid w:val="00BF503B"/>
    <w:rsid w:val="00C258EA"/>
    <w:rsid w:val="00C40236"/>
    <w:rsid w:val="00C42C5E"/>
    <w:rsid w:val="00C51953"/>
    <w:rsid w:val="00C76F5E"/>
    <w:rsid w:val="00C80B77"/>
    <w:rsid w:val="00C94155"/>
    <w:rsid w:val="00CC6604"/>
    <w:rsid w:val="00D94B7F"/>
    <w:rsid w:val="00DB5133"/>
    <w:rsid w:val="00DB76AE"/>
    <w:rsid w:val="00DD1C70"/>
    <w:rsid w:val="00DD646B"/>
    <w:rsid w:val="00E161BE"/>
    <w:rsid w:val="00E31499"/>
    <w:rsid w:val="00EC466F"/>
    <w:rsid w:val="00EF68E4"/>
    <w:rsid w:val="00F0706E"/>
    <w:rsid w:val="00F14D0B"/>
    <w:rsid w:val="00FB28C8"/>
    <w:rsid w:val="00FD0A0B"/>
    <w:rsid w:val="00FD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8DF4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4A2"/>
    <w:pPr>
      <w:tabs>
        <w:tab w:val="center" w:pos="4320"/>
        <w:tab w:val="right" w:pos="8640"/>
      </w:tabs>
    </w:pPr>
  </w:style>
  <w:style w:type="character" w:customStyle="1" w:styleId="FooterChar">
    <w:name w:val="Footer Char"/>
    <w:basedOn w:val="DefaultParagraphFont"/>
    <w:link w:val="Footer"/>
    <w:uiPriority w:val="99"/>
    <w:rsid w:val="00AA64A2"/>
  </w:style>
  <w:style w:type="character" w:styleId="PageNumber">
    <w:name w:val="page number"/>
    <w:basedOn w:val="DefaultParagraphFont"/>
    <w:uiPriority w:val="99"/>
    <w:semiHidden/>
    <w:unhideWhenUsed/>
    <w:rsid w:val="00AA64A2"/>
  </w:style>
  <w:style w:type="paragraph" w:styleId="ListParagraph">
    <w:name w:val="List Paragraph"/>
    <w:basedOn w:val="Normal"/>
    <w:uiPriority w:val="34"/>
    <w:qFormat/>
    <w:rsid w:val="00B235BA"/>
    <w:pPr>
      <w:ind w:left="720"/>
      <w:contextualSpacing/>
    </w:pPr>
  </w:style>
  <w:style w:type="paragraph" w:styleId="Header">
    <w:name w:val="header"/>
    <w:basedOn w:val="Normal"/>
    <w:link w:val="HeaderChar"/>
    <w:uiPriority w:val="99"/>
    <w:unhideWhenUsed/>
    <w:rsid w:val="007B2CEB"/>
    <w:pPr>
      <w:tabs>
        <w:tab w:val="center" w:pos="4680"/>
        <w:tab w:val="right" w:pos="9360"/>
      </w:tabs>
    </w:pPr>
  </w:style>
  <w:style w:type="character" w:customStyle="1" w:styleId="HeaderChar">
    <w:name w:val="Header Char"/>
    <w:basedOn w:val="DefaultParagraphFont"/>
    <w:link w:val="Header"/>
    <w:uiPriority w:val="99"/>
    <w:rsid w:val="007B2CEB"/>
  </w:style>
  <w:style w:type="paragraph" w:styleId="BalloonText">
    <w:name w:val="Balloon Text"/>
    <w:basedOn w:val="Normal"/>
    <w:link w:val="BalloonTextChar"/>
    <w:uiPriority w:val="99"/>
    <w:semiHidden/>
    <w:unhideWhenUsed/>
    <w:rsid w:val="007A4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BBF"/>
    <w:rPr>
      <w:rFonts w:ascii="Segoe UI" w:hAnsi="Segoe UI" w:cs="Segoe UI"/>
      <w:sz w:val="18"/>
      <w:szCs w:val="18"/>
    </w:rPr>
  </w:style>
  <w:style w:type="character" w:styleId="Hyperlink">
    <w:name w:val="Hyperlink"/>
    <w:basedOn w:val="DefaultParagraphFont"/>
    <w:uiPriority w:val="99"/>
    <w:unhideWhenUsed/>
    <w:rsid w:val="00766FAD"/>
    <w:rPr>
      <w:color w:val="0000FF" w:themeColor="hyperlink"/>
      <w:u w:val="single"/>
    </w:rPr>
  </w:style>
  <w:style w:type="character" w:customStyle="1" w:styleId="A12">
    <w:name w:val="A12"/>
    <w:uiPriority w:val="99"/>
    <w:rsid w:val="008F2BF7"/>
    <w:rPr>
      <w:rFonts w:cs="Galliard BT"/>
      <w:color w:val="000000"/>
      <w:sz w:val="12"/>
      <w:szCs w:val="12"/>
    </w:rPr>
  </w:style>
  <w:style w:type="character" w:customStyle="1" w:styleId="element-citation">
    <w:name w:val="element-citation"/>
    <w:basedOn w:val="DefaultParagraphFont"/>
    <w:rsid w:val="00AC2D78"/>
  </w:style>
  <w:style w:type="character" w:customStyle="1" w:styleId="ref-journal">
    <w:name w:val="ref-journal"/>
    <w:basedOn w:val="DefaultParagraphFont"/>
    <w:rsid w:val="00AC2D78"/>
  </w:style>
  <w:style w:type="character" w:customStyle="1" w:styleId="ref-vol">
    <w:name w:val="ref-vol"/>
    <w:basedOn w:val="DefaultParagraphFont"/>
    <w:rsid w:val="00AC2D78"/>
  </w:style>
  <w:style w:type="character" w:customStyle="1" w:styleId="nowrap">
    <w:name w:val="nowrap"/>
    <w:basedOn w:val="DefaultParagraphFont"/>
    <w:rsid w:val="00AC2D78"/>
  </w:style>
  <w:style w:type="paragraph" w:customStyle="1" w:styleId="Pa27">
    <w:name w:val="Pa27"/>
    <w:basedOn w:val="Normal"/>
    <w:next w:val="Normal"/>
    <w:uiPriority w:val="99"/>
    <w:rsid w:val="00AC2D78"/>
    <w:pPr>
      <w:autoSpaceDE w:val="0"/>
      <w:autoSpaceDN w:val="0"/>
      <w:adjustRightInd w:val="0"/>
      <w:spacing w:line="171" w:lineRule="atLeast"/>
    </w:pPr>
    <w:rPr>
      <w:rFonts w:ascii="Arial Narrow" w:hAnsi="Arial Narrow"/>
    </w:rPr>
  </w:style>
  <w:style w:type="character" w:styleId="CommentReference">
    <w:name w:val="annotation reference"/>
    <w:basedOn w:val="DefaultParagraphFont"/>
    <w:uiPriority w:val="99"/>
    <w:semiHidden/>
    <w:unhideWhenUsed/>
    <w:rsid w:val="007252D0"/>
    <w:rPr>
      <w:sz w:val="18"/>
      <w:szCs w:val="18"/>
    </w:rPr>
  </w:style>
  <w:style w:type="paragraph" w:styleId="CommentText">
    <w:name w:val="annotation text"/>
    <w:basedOn w:val="Normal"/>
    <w:link w:val="CommentTextChar"/>
    <w:uiPriority w:val="99"/>
    <w:semiHidden/>
    <w:unhideWhenUsed/>
    <w:rsid w:val="007252D0"/>
  </w:style>
  <w:style w:type="character" w:customStyle="1" w:styleId="CommentTextChar">
    <w:name w:val="Comment Text Char"/>
    <w:basedOn w:val="DefaultParagraphFont"/>
    <w:link w:val="CommentText"/>
    <w:uiPriority w:val="99"/>
    <w:semiHidden/>
    <w:rsid w:val="007252D0"/>
  </w:style>
  <w:style w:type="paragraph" w:styleId="CommentSubject">
    <w:name w:val="annotation subject"/>
    <w:basedOn w:val="CommentText"/>
    <w:next w:val="CommentText"/>
    <w:link w:val="CommentSubjectChar"/>
    <w:uiPriority w:val="99"/>
    <w:semiHidden/>
    <w:unhideWhenUsed/>
    <w:rsid w:val="007252D0"/>
    <w:rPr>
      <w:b/>
      <w:bCs/>
      <w:sz w:val="20"/>
      <w:szCs w:val="20"/>
    </w:rPr>
  </w:style>
  <w:style w:type="character" w:customStyle="1" w:styleId="CommentSubjectChar">
    <w:name w:val="Comment Subject Char"/>
    <w:basedOn w:val="CommentTextChar"/>
    <w:link w:val="CommentSubject"/>
    <w:uiPriority w:val="99"/>
    <w:semiHidden/>
    <w:rsid w:val="007252D0"/>
    <w:rPr>
      <w:b/>
      <w:bCs/>
      <w:sz w:val="20"/>
      <w:szCs w:val="20"/>
    </w:rPr>
  </w:style>
  <w:style w:type="paragraph" w:styleId="Revision">
    <w:name w:val="Revision"/>
    <w:hidden/>
    <w:uiPriority w:val="99"/>
    <w:semiHidden/>
    <w:rsid w:val="007252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4A2"/>
    <w:pPr>
      <w:tabs>
        <w:tab w:val="center" w:pos="4320"/>
        <w:tab w:val="right" w:pos="8640"/>
      </w:tabs>
    </w:pPr>
  </w:style>
  <w:style w:type="character" w:customStyle="1" w:styleId="FooterChar">
    <w:name w:val="Footer Char"/>
    <w:basedOn w:val="DefaultParagraphFont"/>
    <w:link w:val="Footer"/>
    <w:uiPriority w:val="99"/>
    <w:rsid w:val="00AA64A2"/>
  </w:style>
  <w:style w:type="character" w:styleId="PageNumber">
    <w:name w:val="page number"/>
    <w:basedOn w:val="DefaultParagraphFont"/>
    <w:uiPriority w:val="99"/>
    <w:semiHidden/>
    <w:unhideWhenUsed/>
    <w:rsid w:val="00AA64A2"/>
  </w:style>
  <w:style w:type="paragraph" w:styleId="ListParagraph">
    <w:name w:val="List Paragraph"/>
    <w:basedOn w:val="Normal"/>
    <w:uiPriority w:val="34"/>
    <w:qFormat/>
    <w:rsid w:val="00B235BA"/>
    <w:pPr>
      <w:ind w:left="720"/>
      <w:contextualSpacing/>
    </w:pPr>
  </w:style>
  <w:style w:type="paragraph" w:styleId="Header">
    <w:name w:val="header"/>
    <w:basedOn w:val="Normal"/>
    <w:link w:val="HeaderChar"/>
    <w:uiPriority w:val="99"/>
    <w:unhideWhenUsed/>
    <w:rsid w:val="007B2CEB"/>
    <w:pPr>
      <w:tabs>
        <w:tab w:val="center" w:pos="4680"/>
        <w:tab w:val="right" w:pos="9360"/>
      </w:tabs>
    </w:pPr>
  </w:style>
  <w:style w:type="character" w:customStyle="1" w:styleId="HeaderChar">
    <w:name w:val="Header Char"/>
    <w:basedOn w:val="DefaultParagraphFont"/>
    <w:link w:val="Header"/>
    <w:uiPriority w:val="99"/>
    <w:rsid w:val="007B2CEB"/>
  </w:style>
  <w:style w:type="paragraph" w:styleId="BalloonText">
    <w:name w:val="Balloon Text"/>
    <w:basedOn w:val="Normal"/>
    <w:link w:val="BalloonTextChar"/>
    <w:uiPriority w:val="99"/>
    <w:semiHidden/>
    <w:unhideWhenUsed/>
    <w:rsid w:val="007A4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BBF"/>
    <w:rPr>
      <w:rFonts w:ascii="Segoe UI" w:hAnsi="Segoe UI" w:cs="Segoe UI"/>
      <w:sz w:val="18"/>
      <w:szCs w:val="18"/>
    </w:rPr>
  </w:style>
  <w:style w:type="character" w:styleId="Hyperlink">
    <w:name w:val="Hyperlink"/>
    <w:basedOn w:val="DefaultParagraphFont"/>
    <w:uiPriority w:val="99"/>
    <w:unhideWhenUsed/>
    <w:rsid w:val="00766FAD"/>
    <w:rPr>
      <w:color w:val="0000FF" w:themeColor="hyperlink"/>
      <w:u w:val="single"/>
    </w:rPr>
  </w:style>
  <w:style w:type="character" w:customStyle="1" w:styleId="A12">
    <w:name w:val="A12"/>
    <w:uiPriority w:val="99"/>
    <w:rsid w:val="008F2BF7"/>
    <w:rPr>
      <w:rFonts w:cs="Galliard BT"/>
      <w:color w:val="000000"/>
      <w:sz w:val="12"/>
      <w:szCs w:val="12"/>
    </w:rPr>
  </w:style>
  <w:style w:type="character" w:customStyle="1" w:styleId="element-citation">
    <w:name w:val="element-citation"/>
    <w:basedOn w:val="DefaultParagraphFont"/>
    <w:rsid w:val="00AC2D78"/>
  </w:style>
  <w:style w:type="character" w:customStyle="1" w:styleId="ref-journal">
    <w:name w:val="ref-journal"/>
    <w:basedOn w:val="DefaultParagraphFont"/>
    <w:rsid w:val="00AC2D78"/>
  </w:style>
  <w:style w:type="character" w:customStyle="1" w:styleId="ref-vol">
    <w:name w:val="ref-vol"/>
    <w:basedOn w:val="DefaultParagraphFont"/>
    <w:rsid w:val="00AC2D78"/>
  </w:style>
  <w:style w:type="character" w:customStyle="1" w:styleId="nowrap">
    <w:name w:val="nowrap"/>
    <w:basedOn w:val="DefaultParagraphFont"/>
    <w:rsid w:val="00AC2D78"/>
  </w:style>
  <w:style w:type="paragraph" w:customStyle="1" w:styleId="Pa27">
    <w:name w:val="Pa27"/>
    <w:basedOn w:val="Normal"/>
    <w:next w:val="Normal"/>
    <w:uiPriority w:val="99"/>
    <w:rsid w:val="00AC2D78"/>
    <w:pPr>
      <w:autoSpaceDE w:val="0"/>
      <w:autoSpaceDN w:val="0"/>
      <w:adjustRightInd w:val="0"/>
      <w:spacing w:line="171" w:lineRule="atLeast"/>
    </w:pPr>
    <w:rPr>
      <w:rFonts w:ascii="Arial Narrow" w:hAnsi="Arial Narrow"/>
    </w:rPr>
  </w:style>
  <w:style w:type="character" w:styleId="CommentReference">
    <w:name w:val="annotation reference"/>
    <w:basedOn w:val="DefaultParagraphFont"/>
    <w:uiPriority w:val="99"/>
    <w:semiHidden/>
    <w:unhideWhenUsed/>
    <w:rsid w:val="007252D0"/>
    <w:rPr>
      <w:sz w:val="18"/>
      <w:szCs w:val="18"/>
    </w:rPr>
  </w:style>
  <w:style w:type="paragraph" w:styleId="CommentText">
    <w:name w:val="annotation text"/>
    <w:basedOn w:val="Normal"/>
    <w:link w:val="CommentTextChar"/>
    <w:uiPriority w:val="99"/>
    <w:semiHidden/>
    <w:unhideWhenUsed/>
    <w:rsid w:val="007252D0"/>
  </w:style>
  <w:style w:type="character" w:customStyle="1" w:styleId="CommentTextChar">
    <w:name w:val="Comment Text Char"/>
    <w:basedOn w:val="DefaultParagraphFont"/>
    <w:link w:val="CommentText"/>
    <w:uiPriority w:val="99"/>
    <w:semiHidden/>
    <w:rsid w:val="007252D0"/>
  </w:style>
  <w:style w:type="paragraph" w:styleId="CommentSubject">
    <w:name w:val="annotation subject"/>
    <w:basedOn w:val="CommentText"/>
    <w:next w:val="CommentText"/>
    <w:link w:val="CommentSubjectChar"/>
    <w:uiPriority w:val="99"/>
    <w:semiHidden/>
    <w:unhideWhenUsed/>
    <w:rsid w:val="007252D0"/>
    <w:rPr>
      <w:b/>
      <w:bCs/>
      <w:sz w:val="20"/>
      <w:szCs w:val="20"/>
    </w:rPr>
  </w:style>
  <w:style w:type="character" w:customStyle="1" w:styleId="CommentSubjectChar">
    <w:name w:val="Comment Subject Char"/>
    <w:basedOn w:val="CommentTextChar"/>
    <w:link w:val="CommentSubject"/>
    <w:uiPriority w:val="99"/>
    <w:semiHidden/>
    <w:rsid w:val="007252D0"/>
    <w:rPr>
      <w:b/>
      <w:bCs/>
      <w:sz w:val="20"/>
      <w:szCs w:val="20"/>
    </w:rPr>
  </w:style>
  <w:style w:type="paragraph" w:styleId="Revision">
    <w:name w:val="Revision"/>
    <w:hidden/>
    <w:uiPriority w:val="99"/>
    <w:semiHidden/>
    <w:rsid w:val="0072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ast.org/injury/injury.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6475-C91F-6C47-B5CE-F48E8DCA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1274</Words>
  <Characters>7264</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Emory</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Rozycki</dc:creator>
  <cp:keywords/>
  <dc:description/>
  <cp:lastModifiedBy>Meghan Wooster</cp:lastModifiedBy>
  <cp:revision>2</cp:revision>
  <cp:lastPrinted>2016-12-31T15:25:00Z</cp:lastPrinted>
  <dcterms:created xsi:type="dcterms:W3CDTF">2019-04-11T00:35:00Z</dcterms:created>
  <dcterms:modified xsi:type="dcterms:W3CDTF">2019-04-11T00:35:00Z</dcterms:modified>
</cp:coreProperties>
</file>